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89" w:type="dxa"/>
        <w:tblInd w:w="-715" w:type="dxa"/>
        <w:tblCellMar>
          <w:top w:w="44" w:type="dxa"/>
          <w:left w:w="104" w:type="dxa"/>
          <w:bottom w:w="0" w:type="dxa"/>
          <w:right w:w="69" w:type="dxa"/>
        </w:tblCellMar>
        <w:tblLook w:val="04A0" w:firstRow="1" w:lastRow="0" w:firstColumn="1" w:lastColumn="0" w:noHBand="0" w:noVBand="1"/>
      </w:tblPr>
      <w:tblGrid>
        <w:gridCol w:w="2195"/>
        <w:gridCol w:w="2220"/>
        <w:gridCol w:w="3114"/>
        <w:gridCol w:w="2406"/>
        <w:gridCol w:w="2547"/>
        <w:gridCol w:w="2829"/>
        <w:gridCol w:w="78"/>
      </w:tblGrid>
      <w:tr w:rsidR="00E8702C" w:rsidTr="00E8702C">
        <w:trPr>
          <w:trHeight w:val="281"/>
        </w:trPr>
        <w:tc>
          <w:tcPr>
            <w:tcW w:w="15389" w:type="dxa"/>
            <w:gridSpan w:val="7"/>
            <w:tcBorders>
              <w:top w:val="single" w:sz="4" w:space="0" w:color="000000"/>
              <w:left w:val="single" w:sz="4" w:space="0" w:color="000000"/>
              <w:bottom w:val="single" w:sz="4" w:space="0" w:color="000000"/>
              <w:right w:val="single" w:sz="4" w:space="0" w:color="000000"/>
            </w:tcBorders>
          </w:tcPr>
          <w:p w:rsidR="00E8702C" w:rsidRDefault="00E8702C" w:rsidP="00945F3C">
            <w:pPr>
              <w:ind w:right="33"/>
              <w:jc w:val="center"/>
            </w:pPr>
            <w:r>
              <w:rPr>
                <w:rFonts w:ascii="Century Gothic" w:eastAsia="Century Gothic" w:hAnsi="Century Gothic" w:cs="Century Gothic"/>
                <w:b/>
              </w:rPr>
              <w:t xml:space="preserve">Year 10 – PSHE </w:t>
            </w:r>
          </w:p>
        </w:tc>
      </w:tr>
      <w:tr w:rsidR="00E8702C" w:rsidRPr="00E8702C" w:rsidTr="00E8702C">
        <w:trPr>
          <w:gridAfter w:val="1"/>
          <w:wAfter w:w="78" w:type="dxa"/>
          <w:trHeight w:val="1034"/>
        </w:trPr>
        <w:tc>
          <w:tcPr>
            <w:tcW w:w="15311" w:type="dxa"/>
            <w:gridSpan w:val="6"/>
            <w:tcBorders>
              <w:top w:val="single" w:sz="4" w:space="0" w:color="000000"/>
              <w:left w:val="single" w:sz="4" w:space="0" w:color="000000"/>
              <w:bottom w:val="single" w:sz="4" w:space="0" w:color="000000"/>
              <w:right w:val="single" w:sz="4" w:space="0" w:color="000000"/>
            </w:tcBorders>
            <w:vAlign w:val="center"/>
          </w:tcPr>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The Year 10 PSHE curriculum has been designed to be delivered in a sequence that allows for connection making and has become more complex and age-specific through the progression of units throughout the academic year. All substantive knowledge to be delivered is taken directly from the RSHE statutory guidance document. Each one of the PSHE topics becomes a thread of knowledge building throughout this entire secondary curriculum. There are clear links across topics, which are highlighted on the Learning Journey for PSHE.  </w:t>
            </w:r>
          </w:p>
        </w:tc>
      </w:tr>
      <w:tr w:rsidR="00E8702C" w:rsidRPr="00E8702C" w:rsidTr="00E8702C">
        <w:trPr>
          <w:gridAfter w:val="1"/>
          <w:wAfter w:w="78" w:type="dxa"/>
          <w:trHeight w:val="278"/>
        </w:trPr>
        <w:tc>
          <w:tcPr>
            <w:tcW w:w="219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Autumn 1 </w:t>
            </w:r>
          </w:p>
        </w:tc>
        <w:tc>
          <w:tcPr>
            <w:tcW w:w="219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Autumn 2 </w:t>
            </w:r>
          </w:p>
        </w:tc>
        <w:tc>
          <w:tcPr>
            <w:tcW w:w="311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Spring 1 </w:t>
            </w:r>
          </w:p>
        </w:tc>
        <w:tc>
          <w:tcPr>
            <w:tcW w:w="2410"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Spring 2 </w:t>
            </w:r>
          </w:p>
        </w:tc>
        <w:tc>
          <w:tcPr>
            <w:tcW w:w="2552"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Summer 1 </w:t>
            </w:r>
          </w:p>
        </w:tc>
        <w:tc>
          <w:tcPr>
            <w:tcW w:w="2835"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b/>
                <w:sz w:val="18"/>
                <w:szCs w:val="18"/>
              </w:rPr>
              <w:t xml:space="preserve">Summer 2 </w:t>
            </w:r>
          </w:p>
        </w:tc>
      </w:tr>
      <w:tr w:rsidR="00E8702C" w:rsidRPr="00E8702C" w:rsidTr="00E8702C">
        <w:trPr>
          <w:gridAfter w:val="1"/>
          <w:wAfter w:w="78" w:type="dxa"/>
          <w:trHeight w:val="4498"/>
        </w:trPr>
        <w:tc>
          <w:tcPr>
            <w:tcW w:w="219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Online and Media: The </w:t>
            </w:r>
          </w:p>
          <w:p w:rsidR="00E8702C" w:rsidRPr="00E8702C" w:rsidRDefault="00E8702C" w:rsidP="00945F3C">
            <w:pPr>
              <w:spacing w:line="239" w:lineRule="auto"/>
              <w:ind w:left="2"/>
              <w:rPr>
                <w:rFonts w:ascii="Arial" w:hAnsi="Arial" w:cs="Arial"/>
                <w:sz w:val="18"/>
                <w:szCs w:val="18"/>
              </w:rPr>
            </w:pPr>
            <w:r w:rsidRPr="00E8702C">
              <w:rPr>
                <w:rFonts w:ascii="Arial" w:eastAsia="Century Gothic" w:hAnsi="Arial" w:cs="Arial"/>
                <w:b/>
                <w:sz w:val="18"/>
                <w:szCs w:val="18"/>
              </w:rPr>
              <w:t xml:space="preserve">Dangers of Viewing Explicit Material. </w:t>
            </w:r>
          </w:p>
          <w:p w:rsidR="00E8702C" w:rsidRPr="00E8702C" w:rsidRDefault="00E8702C" w:rsidP="00E8702C">
            <w:pPr>
              <w:numPr>
                <w:ilvl w:val="0"/>
                <w:numId w:val="1"/>
              </w:numPr>
              <w:spacing w:line="242" w:lineRule="auto"/>
              <w:ind w:hanging="142"/>
              <w:rPr>
                <w:rFonts w:ascii="Arial" w:hAnsi="Arial" w:cs="Arial"/>
                <w:sz w:val="18"/>
                <w:szCs w:val="18"/>
              </w:rPr>
            </w:pPr>
            <w:r w:rsidRPr="00E8702C">
              <w:rPr>
                <w:rFonts w:ascii="Arial" w:eastAsia="Century Gothic" w:hAnsi="Arial" w:cs="Arial"/>
                <w:sz w:val="18"/>
                <w:szCs w:val="18"/>
              </w:rPr>
              <w:t xml:space="preserve">Impact on attitudes and behaviour. </w:t>
            </w:r>
          </w:p>
          <w:p w:rsidR="00E8702C" w:rsidRPr="00E8702C" w:rsidRDefault="00E8702C" w:rsidP="00E8702C">
            <w:pPr>
              <w:numPr>
                <w:ilvl w:val="0"/>
                <w:numId w:val="1"/>
              </w:numPr>
              <w:spacing w:after="2" w:line="241" w:lineRule="auto"/>
              <w:ind w:hanging="142"/>
              <w:rPr>
                <w:rFonts w:ascii="Arial" w:hAnsi="Arial" w:cs="Arial"/>
                <w:sz w:val="18"/>
                <w:szCs w:val="18"/>
              </w:rPr>
            </w:pPr>
            <w:r w:rsidRPr="00E8702C">
              <w:rPr>
                <w:rFonts w:ascii="Arial" w:eastAsia="Century Gothic" w:hAnsi="Arial" w:cs="Arial"/>
                <w:sz w:val="18"/>
                <w:szCs w:val="18"/>
              </w:rPr>
              <w:t xml:space="preserve">The damaging impact of viewing explicit materials on relationships. </w:t>
            </w:r>
          </w:p>
          <w:p w:rsidR="00E8702C" w:rsidRPr="00E8702C" w:rsidRDefault="00E8702C" w:rsidP="00E8702C">
            <w:pPr>
              <w:numPr>
                <w:ilvl w:val="0"/>
                <w:numId w:val="1"/>
              </w:numPr>
              <w:spacing w:line="259" w:lineRule="auto"/>
              <w:ind w:hanging="142"/>
              <w:rPr>
                <w:rFonts w:ascii="Arial" w:hAnsi="Arial" w:cs="Arial"/>
                <w:sz w:val="18"/>
                <w:szCs w:val="18"/>
              </w:rPr>
            </w:pPr>
            <w:r w:rsidRPr="00E8702C">
              <w:rPr>
                <w:rFonts w:ascii="Arial" w:eastAsia="Century Gothic" w:hAnsi="Arial" w:cs="Arial"/>
                <w:sz w:val="18"/>
                <w:szCs w:val="18"/>
              </w:rPr>
              <w:t xml:space="preserve">Exploitation. </w:t>
            </w:r>
          </w:p>
          <w:p w:rsidR="00E8702C" w:rsidRPr="00E8702C" w:rsidRDefault="00E8702C" w:rsidP="00E8702C">
            <w:pPr>
              <w:numPr>
                <w:ilvl w:val="0"/>
                <w:numId w:val="1"/>
              </w:numPr>
              <w:spacing w:line="242" w:lineRule="auto"/>
              <w:ind w:hanging="142"/>
              <w:rPr>
                <w:rFonts w:ascii="Arial" w:hAnsi="Arial" w:cs="Arial"/>
                <w:sz w:val="18"/>
                <w:szCs w:val="18"/>
              </w:rPr>
            </w:pPr>
            <w:r w:rsidRPr="00E8702C">
              <w:rPr>
                <w:rFonts w:ascii="Arial" w:eastAsia="Century Gothic" w:hAnsi="Arial" w:cs="Arial"/>
                <w:sz w:val="18"/>
                <w:szCs w:val="18"/>
              </w:rPr>
              <w:t xml:space="preserve">Pornography and the law. </w:t>
            </w:r>
          </w:p>
          <w:p w:rsidR="00E8702C" w:rsidRPr="00E8702C" w:rsidRDefault="00E8702C" w:rsidP="00E8702C">
            <w:pPr>
              <w:numPr>
                <w:ilvl w:val="0"/>
                <w:numId w:val="1"/>
              </w:numPr>
              <w:spacing w:line="259" w:lineRule="auto"/>
              <w:ind w:hanging="142"/>
              <w:rPr>
                <w:rFonts w:ascii="Arial" w:hAnsi="Arial" w:cs="Arial"/>
                <w:sz w:val="18"/>
                <w:szCs w:val="18"/>
              </w:rPr>
            </w:pPr>
            <w:r w:rsidRPr="00E8702C">
              <w:rPr>
                <w:rFonts w:ascii="Arial" w:eastAsia="Century Gothic" w:hAnsi="Arial" w:cs="Arial"/>
                <w:sz w:val="18"/>
                <w:szCs w:val="18"/>
              </w:rPr>
              <w:t xml:space="preserve">Spiral of addiction. </w:t>
            </w:r>
          </w:p>
          <w:p w:rsidR="00E8702C" w:rsidRPr="00E8702C" w:rsidRDefault="00E8702C" w:rsidP="00945F3C">
            <w:pPr>
              <w:spacing w:line="239" w:lineRule="auto"/>
              <w:ind w:left="2"/>
              <w:rPr>
                <w:rFonts w:ascii="Arial" w:hAnsi="Arial" w:cs="Arial"/>
                <w:sz w:val="18"/>
                <w:szCs w:val="18"/>
              </w:rPr>
            </w:pPr>
            <w:r w:rsidRPr="00E8702C">
              <w:rPr>
                <w:rFonts w:ascii="Arial" w:eastAsia="Century Gothic" w:hAnsi="Arial" w:cs="Arial"/>
                <w:b/>
                <w:sz w:val="18"/>
                <w:szCs w:val="18"/>
              </w:rPr>
              <w:t xml:space="preserve">Being Safe: freedom and capacity to consent. </w:t>
            </w:r>
          </w:p>
          <w:p w:rsidR="00E8702C" w:rsidRPr="00E8702C" w:rsidRDefault="00E8702C" w:rsidP="00E8702C">
            <w:pPr>
              <w:numPr>
                <w:ilvl w:val="0"/>
                <w:numId w:val="1"/>
              </w:numPr>
              <w:spacing w:after="3" w:line="239" w:lineRule="auto"/>
              <w:ind w:hanging="142"/>
              <w:rPr>
                <w:rFonts w:ascii="Arial" w:hAnsi="Arial" w:cs="Arial"/>
                <w:sz w:val="18"/>
                <w:szCs w:val="18"/>
              </w:rPr>
            </w:pPr>
            <w:r w:rsidRPr="00E8702C">
              <w:rPr>
                <w:rFonts w:ascii="Arial" w:eastAsia="Century Gothic" w:hAnsi="Arial" w:cs="Arial"/>
                <w:sz w:val="18"/>
                <w:szCs w:val="18"/>
              </w:rPr>
              <w:t xml:space="preserve">Sexual consent and the law. </w:t>
            </w:r>
          </w:p>
          <w:p w:rsidR="00E8702C" w:rsidRPr="00E8702C" w:rsidRDefault="00E8702C" w:rsidP="00E8702C">
            <w:pPr>
              <w:numPr>
                <w:ilvl w:val="0"/>
                <w:numId w:val="1"/>
              </w:numPr>
              <w:spacing w:line="259" w:lineRule="auto"/>
              <w:ind w:hanging="142"/>
              <w:rPr>
                <w:rFonts w:ascii="Arial" w:hAnsi="Arial" w:cs="Arial"/>
                <w:sz w:val="18"/>
                <w:szCs w:val="18"/>
              </w:rPr>
            </w:pPr>
            <w:r w:rsidRPr="00E8702C">
              <w:rPr>
                <w:rFonts w:ascii="Arial" w:eastAsia="Century Gothic" w:hAnsi="Arial" w:cs="Arial"/>
                <w:sz w:val="18"/>
                <w:szCs w:val="18"/>
              </w:rPr>
              <w:t xml:space="preserve">Checking for consent. </w:t>
            </w:r>
          </w:p>
          <w:p w:rsidR="00E8702C" w:rsidRPr="00E8702C" w:rsidRDefault="00E8702C" w:rsidP="00E8702C">
            <w:pPr>
              <w:numPr>
                <w:ilvl w:val="0"/>
                <w:numId w:val="1"/>
              </w:numPr>
              <w:spacing w:after="17" w:line="242" w:lineRule="auto"/>
              <w:ind w:hanging="142"/>
              <w:rPr>
                <w:rFonts w:ascii="Arial" w:hAnsi="Arial" w:cs="Arial"/>
                <w:sz w:val="18"/>
                <w:szCs w:val="18"/>
              </w:rPr>
            </w:pPr>
            <w:r w:rsidRPr="00E8702C">
              <w:rPr>
                <w:rFonts w:ascii="Arial" w:eastAsia="Century Gothic" w:hAnsi="Arial" w:cs="Arial"/>
                <w:sz w:val="18"/>
                <w:szCs w:val="18"/>
              </w:rPr>
              <w:t xml:space="preserve">Reporting issues of consent. </w:t>
            </w:r>
          </w:p>
          <w:p w:rsidR="00E8702C" w:rsidRPr="00E8702C" w:rsidRDefault="00E8702C" w:rsidP="00945F3C">
            <w:pPr>
              <w:spacing w:line="239" w:lineRule="auto"/>
              <w:ind w:left="2"/>
              <w:rPr>
                <w:rFonts w:ascii="Arial" w:hAnsi="Arial" w:cs="Arial"/>
                <w:sz w:val="18"/>
                <w:szCs w:val="18"/>
              </w:rPr>
            </w:pPr>
            <w:r w:rsidRPr="00E8702C">
              <w:rPr>
                <w:rFonts w:ascii="Arial" w:eastAsia="Century Gothic" w:hAnsi="Arial" w:cs="Arial"/>
                <w:b/>
                <w:sz w:val="18"/>
                <w:szCs w:val="18"/>
              </w:rPr>
              <w:t xml:space="preserve">Being Safe: Informed Consent. </w:t>
            </w:r>
          </w:p>
          <w:p w:rsidR="00E8702C" w:rsidRPr="00E8702C" w:rsidRDefault="00E8702C" w:rsidP="00E8702C">
            <w:pPr>
              <w:numPr>
                <w:ilvl w:val="0"/>
                <w:numId w:val="1"/>
              </w:numPr>
              <w:spacing w:line="259" w:lineRule="auto"/>
              <w:ind w:hanging="142"/>
              <w:rPr>
                <w:rFonts w:ascii="Arial" w:hAnsi="Arial" w:cs="Arial"/>
                <w:sz w:val="18"/>
                <w:szCs w:val="18"/>
              </w:rPr>
            </w:pPr>
            <w:r w:rsidRPr="00E8702C">
              <w:rPr>
                <w:rFonts w:ascii="Arial" w:eastAsia="Century Gothic" w:hAnsi="Arial" w:cs="Arial"/>
                <w:sz w:val="18"/>
                <w:szCs w:val="18"/>
              </w:rPr>
              <w:t xml:space="preserve">Sexual coercion. </w:t>
            </w:r>
          </w:p>
          <w:p w:rsidR="00E8702C" w:rsidRPr="00E8702C" w:rsidRDefault="00E8702C" w:rsidP="00E8702C">
            <w:pPr>
              <w:numPr>
                <w:ilvl w:val="0"/>
                <w:numId w:val="1"/>
              </w:numPr>
              <w:spacing w:line="259" w:lineRule="auto"/>
              <w:ind w:hanging="142"/>
              <w:rPr>
                <w:rFonts w:ascii="Arial" w:hAnsi="Arial" w:cs="Arial"/>
                <w:sz w:val="18"/>
                <w:szCs w:val="18"/>
              </w:rPr>
            </w:pPr>
            <w:r w:rsidRPr="00E8702C">
              <w:rPr>
                <w:rFonts w:ascii="Arial" w:eastAsia="Century Gothic" w:hAnsi="Arial" w:cs="Arial"/>
                <w:sz w:val="18"/>
                <w:szCs w:val="18"/>
              </w:rPr>
              <w:t xml:space="preserve">People in a position of trust. </w:t>
            </w:r>
          </w:p>
        </w:tc>
        <w:tc>
          <w:tcPr>
            <w:tcW w:w="219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spacing w:line="239" w:lineRule="auto"/>
              <w:ind w:left="2"/>
              <w:rPr>
                <w:rFonts w:ascii="Arial" w:hAnsi="Arial" w:cs="Arial"/>
                <w:sz w:val="18"/>
                <w:szCs w:val="18"/>
              </w:rPr>
            </w:pPr>
            <w:r w:rsidRPr="00E8702C">
              <w:rPr>
                <w:rFonts w:ascii="Arial" w:eastAsia="Century Gothic" w:hAnsi="Arial" w:cs="Arial"/>
                <w:b/>
                <w:sz w:val="18"/>
                <w:szCs w:val="18"/>
              </w:rPr>
              <w:t xml:space="preserve">Intimate Relationships: Pregnancy. </w:t>
            </w:r>
          </w:p>
          <w:p w:rsidR="00E8702C" w:rsidRPr="00E8702C" w:rsidRDefault="00E8702C" w:rsidP="00E8702C">
            <w:pPr>
              <w:numPr>
                <w:ilvl w:val="0"/>
                <w:numId w:val="2"/>
              </w:numPr>
              <w:spacing w:line="259" w:lineRule="auto"/>
              <w:ind w:hanging="142"/>
              <w:rPr>
                <w:rFonts w:ascii="Arial" w:hAnsi="Arial" w:cs="Arial"/>
                <w:sz w:val="18"/>
                <w:szCs w:val="18"/>
              </w:rPr>
            </w:pPr>
            <w:r w:rsidRPr="00E8702C">
              <w:rPr>
                <w:rFonts w:ascii="Arial" w:eastAsia="Century Gothic" w:hAnsi="Arial" w:cs="Arial"/>
                <w:sz w:val="18"/>
                <w:szCs w:val="18"/>
              </w:rPr>
              <w:t xml:space="preserve">Fertility and infertility. </w:t>
            </w:r>
          </w:p>
          <w:p w:rsidR="00E8702C" w:rsidRPr="00E8702C" w:rsidRDefault="00E8702C" w:rsidP="00E8702C">
            <w:pPr>
              <w:numPr>
                <w:ilvl w:val="0"/>
                <w:numId w:val="2"/>
              </w:numPr>
              <w:spacing w:line="242" w:lineRule="auto"/>
              <w:ind w:hanging="142"/>
              <w:rPr>
                <w:rFonts w:ascii="Arial" w:hAnsi="Arial" w:cs="Arial"/>
                <w:sz w:val="18"/>
                <w:szCs w:val="18"/>
              </w:rPr>
            </w:pPr>
            <w:r w:rsidRPr="00E8702C">
              <w:rPr>
                <w:rFonts w:ascii="Arial" w:eastAsia="Century Gothic" w:hAnsi="Arial" w:cs="Arial"/>
                <w:sz w:val="18"/>
                <w:szCs w:val="18"/>
              </w:rPr>
              <w:t xml:space="preserve">Pregnancy signs and testing. </w:t>
            </w:r>
          </w:p>
          <w:p w:rsidR="00E8702C" w:rsidRPr="00E8702C" w:rsidRDefault="00E8702C" w:rsidP="00E8702C">
            <w:pPr>
              <w:numPr>
                <w:ilvl w:val="0"/>
                <w:numId w:val="2"/>
              </w:numPr>
              <w:spacing w:line="259" w:lineRule="auto"/>
              <w:ind w:hanging="142"/>
              <w:rPr>
                <w:rFonts w:ascii="Arial" w:hAnsi="Arial" w:cs="Arial"/>
                <w:sz w:val="18"/>
                <w:szCs w:val="18"/>
              </w:rPr>
            </w:pPr>
            <w:r w:rsidRPr="00E8702C">
              <w:rPr>
                <w:rFonts w:ascii="Arial" w:eastAsia="Century Gothic" w:hAnsi="Arial" w:cs="Arial"/>
                <w:sz w:val="18"/>
                <w:szCs w:val="18"/>
              </w:rPr>
              <w:t xml:space="preserve">Labour. </w:t>
            </w:r>
          </w:p>
          <w:p w:rsidR="00E8702C" w:rsidRPr="00E8702C" w:rsidRDefault="00E8702C" w:rsidP="00945F3C">
            <w:pPr>
              <w:spacing w:line="238" w:lineRule="auto"/>
              <w:ind w:left="2"/>
              <w:rPr>
                <w:rFonts w:ascii="Arial" w:hAnsi="Arial" w:cs="Arial"/>
                <w:sz w:val="18"/>
                <w:szCs w:val="18"/>
              </w:rPr>
            </w:pPr>
            <w:r w:rsidRPr="00E8702C">
              <w:rPr>
                <w:rFonts w:ascii="Arial" w:eastAsia="Century Gothic" w:hAnsi="Arial" w:cs="Arial"/>
                <w:b/>
                <w:sz w:val="18"/>
                <w:szCs w:val="18"/>
              </w:rPr>
              <w:t xml:space="preserve">Intimate Relationships: Abortion, Miscarriage and Stillbirth. </w:t>
            </w:r>
          </w:p>
          <w:p w:rsidR="00E8702C" w:rsidRPr="00E8702C" w:rsidRDefault="00E8702C" w:rsidP="00E8702C">
            <w:pPr>
              <w:numPr>
                <w:ilvl w:val="0"/>
                <w:numId w:val="2"/>
              </w:numPr>
              <w:spacing w:line="259" w:lineRule="auto"/>
              <w:ind w:hanging="142"/>
              <w:rPr>
                <w:rFonts w:ascii="Arial" w:hAnsi="Arial" w:cs="Arial"/>
                <w:sz w:val="18"/>
                <w:szCs w:val="18"/>
              </w:rPr>
            </w:pPr>
            <w:r w:rsidRPr="00E8702C">
              <w:rPr>
                <w:rFonts w:ascii="Arial" w:eastAsia="Century Gothic" w:hAnsi="Arial" w:cs="Arial"/>
                <w:sz w:val="18"/>
                <w:szCs w:val="18"/>
              </w:rPr>
              <w:t xml:space="preserve">Abortion. </w:t>
            </w:r>
          </w:p>
          <w:p w:rsidR="00E8702C" w:rsidRPr="00E8702C" w:rsidRDefault="00E8702C" w:rsidP="00E8702C">
            <w:pPr>
              <w:numPr>
                <w:ilvl w:val="0"/>
                <w:numId w:val="2"/>
              </w:numPr>
              <w:spacing w:line="259" w:lineRule="auto"/>
              <w:ind w:hanging="142"/>
              <w:rPr>
                <w:rFonts w:ascii="Arial" w:hAnsi="Arial" w:cs="Arial"/>
                <w:sz w:val="18"/>
                <w:szCs w:val="18"/>
              </w:rPr>
            </w:pPr>
            <w:r w:rsidRPr="00E8702C">
              <w:rPr>
                <w:rFonts w:ascii="Arial" w:eastAsia="Century Gothic" w:hAnsi="Arial" w:cs="Arial"/>
                <w:sz w:val="18"/>
                <w:szCs w:val="18"/>
              </w:rPr>
              <w:t xml:space="preserve">Miscarriage and Stillbirth. </w:t>
            </w:r>
          </w:p>
          <w:p w:rsidR="00E8702C" w:rsidRPr="00E8702C" w:rsidRDefault="00E8702C" w:rsidP="00E8702C">
            <w:pPr>
              <w:numPr>
                <w:ilvl w:val="0"/>
                <w:numId w:val="2"/>
              </w:numPr>
              <w:spacing w:after="18" w:line="241" w:lineRule="auto"/>
              <w:ind w:hanging="142"/>
              <w:rPr>
                <w:rFonts w:ascii="Arial" w:hAnsi="Arial" w:cs="Arial"/>
                <w:sz w:val="18"/>
                <w:szCs w:val="18"/>
              </w:rPr>
            </w:pPr>
            <w:r w:rsidRPr="00E8702C">
              <w:rPr>
                <w:rFonts w:ascii="Arial" w:eastAsia="Century Gothic" w:hAnsi="Arial" w:cs="Arial"/>
                <w:sz w:val="18"/>
                <w:szCs w:val="18"/>
              </w:rPr>
              <w:t xml:space="preserve">Alternative ways of having a baby (for both opposite and same sex couples) </w:t>
            </w:r>
          </w:p>
          <w:p w:rsidR="00E8702C" w:rsidRPr="00E8702C" w:rsidRDefault="00E8702C" w:rsidP="00945F3C">
            <w:pPr>
              <w:spacing w:line="239" w:lineRule="auto"/>
              <w:ind w:left="2" w:right="268"/>
              <w:jc w:val="both"/>
              <w:rPr>
                <w:rFonts w:ascii="Arial" w:hAnsi="Arial" w:cs="Arial"/>
                <w:sz w:val="18"/>
                <w:szCs w:val="18"/>
              </w:rPr>
            </w:pPr>
            <w:r w:rsidRPr="00E8702C">
              <w:rPr>
                <w:rFonts w:ascii="Arial" w:eastAsia="Century Gothic" w:hAnsi="Arial" w:cs="Arial"/>
                <w:b/>
                <w:sz w:val="18"/>
                <w:szCs w:val="18"/>
              </w:rPr>
              <w:t xml:space="preserve">Drugs and Alcohol: Addiction and Alcohol Dependence. </w:t>
            </w:r>
          </w:p>
          <w:p w:rsidR="00E8702C" w:rsidRPr="00E8702C" w:rsidRDefault="00E8702C" w:rsidP="00E8702C">
            <w:pPr>
              <w:numPr>
                <w:ilvl w:val="0"/>
                <w:numId w:val="2"/>
              </w:numPr>
              <w:spacing w:line="259" w:lineRule="auto"/>
              <w:ind w:hanging="142"/>
              <w:rPr>
                <w:rFonts w:ascii="Arial" w:hAnsi="Arial" w:cs="Arial"/>
                <w:sz w:val="18"/>
                <w:szCs w:val="18"/>
              </w:rPr>
            </w:pPr>
            <w:r w:rsidRPr="00E8702C">
              <w:rPr>
                <w:rFonts w:ascii="Arial" w:eastAsia="Century Gothic" w:hAnsi="Arial" w:cs="Arial"/>
                <w:sz w:val="18"/>
                <w:szCs w:val="18"/>
              </w:rPr>
              <w:t xml:space="preserve">What is addiction? </w:t>
            </w:r>
          </w:p>
          <w:p w:rsidR="00E8702C" w:rsidRPr="00E8702C" w:rsidRDefault="00E8702C" w:rsidP="00E8702C">
            <w:pPr>
              <w:numPr>
                <w:ilvl w:val="0"/>
                <w:numId w:val="2"/>
              </w:numPr>
              <w:spacing w:line="241" w:lineRule="auto"/>
              <w:ind w:hanging="142"/>
              <w:rPr>
                <w:rFonts w:ascii="Arial" w:hAnsi="Arial" w:cs="Arial"/>
                <w:sz w:val="18"/>
                <w:szCs w:val="18"/>
              </w:rPr>
            </w:pPr>
            <w:r w:rsidRPr="00E8702C">
              <w:rPr>
                <w:rFonts w:ascii="Arial" w:eastAsia="Century Gothic" w:hAnsi="Arial" w:cs="Arial"/>
                <w:sz w:val="18"/>
                <w:szCs w:val="18"/>
              </w:rPr>
              <w:t xml:space="preserve">How addiction affects people &amp; consequences of addiction. </w:t>
            </w:r>
          </w:p>
          <w:p w:rsidR="00E8702C" w:rsidRPr="00E8702C" w:rsidRDefault="00E8702C" w:rsidP="00E8702C">
            <w:pPr>
              <w:numPr>
                <w:ilvl w:val="0"/>
                <w:numId w:val="2"/>
              </w:numPr>
              <w:spacing w:line="242" w:lineRule="auto"/>
              <w:ind w:hanging="142"/>
              <w:rPr>
                <w:rFonts w:ascii="Arial" w:hAnsi="Arial" w:cs="Arial"/>
                <w:sz w:val="18"/>
                <w:szCs w:val="18"/>
              </w:rPr>
            </w:pPr>
            <w:r w:rsidRPr="00E8702C">
              <w:rPr>
                <w:rFonts w:ascii="Arial" w:eastAsia="Century Gothic" w:hAnsi="Arial" w:cs="Arial"/>
                <w:sz w:val="18"/>
                <w:szCs w:val="18"/>
              </w:rPr>
              <w:t xml:space="preserve">Seeking help for addiction/dependency. </w:t>
            </w:r>
          </w:p>
          <w:p w:rsidR="00E8702C" w:rsidRPr="00E8702C" w:rsidRDefault="00E8702C" w:rsidP="00E8702C">
            <w:pPr>
              <w:numPr>
                <w:ilvl w:val="0"/>
                <w:numId w:val="2"/>
              </w:numPr>
              <w:spacing w:line="259" w:lineRule="auto"/>
              <w:ind w:hanging="142"/>
              <w:rPr>
                <w:rFonts w:ascii="Arial" w:hAnsi="Arial" w:cs="Arial"/>
                <w:sz w:val="18"/>
                <w:szCs w:val="18"/>
              </w:rPr>
            </w:pPr>
            <w:r w:rsidRPr="00E8702C">
              <w:rPr>
                <w:rFonts w:ascii="Arial" w:eastAsia="Century Gothic" w:hAnsi="Arial" w:cs="Arial"/>
                <w:sz w:val="18"/>
                <w:szCs w:val="18"/>
              </w:rPr>
              <w:t xml:space="preserve">Alcohol and consent.  </w:t>
            </w:r>
          </w:p>
        </w:tc>
        <w:tc>
          <w:tcPr>
            <w:tcW w:w="311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spacing w:line="239" w:lineRule="auto"/>
              <w:ind w:left="2"/>
              <w:rPr>
                <w:rFonts w:ascii="Arial" w:hAnsi="Arial" w:cs="Arial"/>
                <w:sz w:val="18"/>
                <w:szCs w:val="18"/>
              </w:rPr>
            </w:pPr>
            <w:r w:rsidRPr="00E8702C">
              <w:rPr>
                <w:rFonts w:ascii="Arial" w:eastAsia="Century Gothic" w:hAnsi="Arial" w:cs="Arial"/>
                <w:b/>
                <w:sz w:val="18"/>
                <w:szCs w:val="18"/>
              </w:rPr>
              <w:t xml:space="preserve">Drugs and Alcohol: Addiction and Drug Dependence. </w:t>
            </w:r>
          </w:p>
          <w:p w:rsidR="00E8702C" w:rsidRPr="00E8702C" w:rsidRDefault="00E8702C" w:rsidP="00E8702C">
            <w:pPr>
              <w:numPr>
                <w:ilvl w:val="0"/>
                <w:numId w:val="3"/>
              </w:numPr>
              <w:spacing w:line="259" w:lineRule="auto"/>
              <w:ind w:hanging="142"/>
              <w:rPr>
                <w:rFonts w:ascii="Arial" w:hAnsi="Arial" w:cs="Arial"/>
                <w:sz w:val="18"/>
                <w:szCs w:val="18"/>
              </w:rPr>
            </w:pPr>
            <w:r w:rsidRPr="00E8702C">
              <w:rPr>
                <w:rFonts w:ascii="Arial" w:eastAsia="Century Gothic" w:hAnsi="Arial" w:cs="Arial"/>
                <w:sz w:val="18"/>
                <w:szCs w:val="18"/>
              </w:rPr>
              <w:t xml:space="preserve">What is addiction? </w:t>
            </w:r>
          </w:p>
          <w:p w:rsidR="00E8702C" w:rsidRPr="00E8702C" w:rsidRDefault="00E8702C" w:rsidP="00E8702C">
            <w:pPr>
              <w:numPr>
                <w:ilvl w:val="0"/>
                <w:numId w:val="3"/>
              </w:numPr>
              <w:spacing w:line="241" w:lineRule="auto"/>
              <w:ind w:hanging="142"/>
              <w:rPr>
                <w:rFonts w:ascii="Arial" w:hAnsi="Arial" w:cs="Arial"/>
                <w:sz w:val="18"/>
                <w:szCs w:val="18"/>
              </w:rPr>
            </w:pPr>
            <w:r w:rsidRPr="00E8702C">
              <w:rPr>
                <w:rFonts w:ascii="Arial" w:eastAsia="Century Gothic" w:hAnsi="Arial" w:cs="Arial"/>
                <w:sz w:val="18"/>
                <w:szCs w:val="18"/>
              </w:rPr>
              <w:t xml:space="preserve">How addiction affects people &amp; consequences of addiction.  </w:t>
            </w:r>
          </w:p>
          <w:p w:rsidR="00E8702C" w:rsidRPr="00E8702C" w:rsidRDefault="00E8702C" w:rsidP="00E8702C">
            <w:pPr>
              <w:numPr>
                <w:ilvl w:val="0"/>
                <w:numId w:val="3"/>
              </w:numPr>
              <w:spacing w:after="19" w:line="242" w:lineRule="auto"/>
              <w:ind w:hanging="142"/>
              <w:rPr>
                <w:rFonts w:ascii="Arial" w:hAnsi="Arial" w:cs="Arial"/>
                <w:sz w:val="18"/>
                <w:szCs w:val="18"/>
              </w:rPr>
            </w:pPr>
            <w:r w:rsidRPr="00E8702C">
              <w:rPr>
                <w:rFonts w:ascii="Arial" w:eastAsia="Century Gothic" w:hAnsi="Arial" w:cs="Arial"/>
                <w:sz w:val="18"/>
                <w:szCs w:val="18"/>
              </w:rPr>
              <w:t xml:space="preserve">Seeking help for addiction/dependency. </w:t>
            </w:r>
          </w:p>
          <w:p w:rsidR="00E8702C" w:rsidRPr="00E8702C" w:rsidRDefault="00E8702C" w:rsidP="00945F3C">
            <w:pPr>
              <w:spacing w:line="238" w:lineRule="auto"/>
              <w:ind w:left="2"/>
              <w:rPr>
                <w:rFonts w:ascii="Arial" w:hAnsi="Arial" w:cs="Arial"/>
                <w:sz w:val="18"/>
                <w:szCs w:val="18"/>
              </w:rPr>
            </w:pPr>
            <w:r w:rsidRPr="00E8702C">
              <w:rPr>
                <w:rFonts w:ascii="Arial" w:eastAsia="Century Gothic" w:hAnsi="Arial" w:cs="Arial"/>
                <w:b/>
                <w:sz w:val="18"/>
                <w:szCs w:val="18"/>
              </w:rPr>
              <w:t xml:space="preserve">Internet Safety and Harms: Online relationships and Harmful Behaviour. </w:t>
            </w:r>
          </w:p>
          <w:p w:rsidR="00E8702C" w:rsidRPr="00E8702C" w:rsidRDefault="00E8702C" w:rsidP="00E8702C">
            <w:pPr>
              <w:numPr>
                <w:ilvl w:val="0"/>
                <w:numId w:val="3"/>
              </w:numPr>
              <w:spacing w:line="242" w:lineRule="auto"/>
              <w:ind w:hanging="142"/>
              <w:rPr>
                <w:rFonts w:ascii="Arial" w:hAnsi="Arial" w:cs="Arial"/>
                <w:sz w:val="18"/>
                <w:szCs w:val="18"/>
              </w:rPr>
            </w:pPr>
            <w:r w:rsidRPr="00E8702C">
              <w:rPr>
                <w:rFonts w:ascii="Arial" w:eastAsia="Century Gothic" w:hAnsi="Arial" w:cs="Arial"/>
                <w:sz w:val="18"/>
                <w:szCs w:val="18"/>
              </w:rPr>
              <w:t xml:space="preserve">Problematic interactions online. </w:t>
            </w:r>
          </w:p>
          <w:p w:rsidR="00E8702C" w:rsidRPr="00E8702C" w:rsidRDefault="00E8702C" w:rsidP="00E8702C">
            <w:pPr>
              <w:numPr>
                <w:ilvl w:val="0"/>
                <w:numId w:val="3"/>
              </w:numPr>
              <w:spacing w:line="242" w:lineRule="auto"/>
              <w:ind w:hanging="142"/>
              <w:rPr>
                <w:rFonts w:ascii="Arial" w:hAnsi="Arial" w:cs="Arial"/>
                <w:sz w:val="18"/>
                <w:szCs w:val="18"/>
              </w:rPr>
            </w:pPr>
            <w:r w:rsidRPr="00E8702C">
              <w:rPr>
                <w:rFonts w:ascii="Arial" w:eastAsia="Century Gothic" w:hAnsi="Arial" w:cs="Arial"/>
                <w:sz w:val="18"/>
                <w:szCs w:val="18"/>
              </w:rPr>
              <w:t xml:space="preserve">Obsessive online behaviours. </w:t>
            </w:r>
          </w:p>
          <w:p w:rsidR="00E8702C" w:rsidRPr="00E8702C" w:rsidRDefault="00E8702C" w:rsidP="00E8702C">
            <w:pPr>
              <w:numPr>
                <w:ilvl w:val="0"/>
                <w:numId w:val="3"/>
              </w:numPr>
              <w:spacing w:line="241" w:lineRule="auto"/>
              <w:ind w:hanging="142"/>
              <w:rPr>
                <w:rFonts w:ascii="Arial" w:hAnsi="Arial" w:cs="Arial"/>
                <w:sz w:val="18"/>
                <w:szCs w:val="18"/>
              </w:rPr>
            </w:pPr>
            <w:r w:rsidRPr="00E8702C">
              <w:rPr>
                <w:rFonts w:ascii="Arial" w:eastAsia="Century Gothic" w:hAnsi="Arial" w:cs="Arial"/>
                <w:sz w:val="18"/>
                <w:szCs w:val="18"/>
              </w:rPr>
              <w:t>‘Trolling’ ‘Catfishing’ ‘</w:t>
            </w:r>
            <w:proofErr w:type="spellStart"/>
            <w:r w:rsidRPr="00E8702C">
              <w:rPr>
                <w:rFonts w:ascii="Arial" w:eastAsia="Century Gothic" w:hAnsi="Arial" w:cs="Arial"/>
                <w:sz w:val="18"/>
                <w:szCs w:val="18"/>
              </w:rPr>
              <w:t>Breadcrumbing</w:t>
            </w:r>
            <w:proofErr w:type="spellEnd"/>
            <w:r w:rsidRPr="00E8702C">
              <w:rPr>
                <w:rFonts w:ascii="Arial" w:eastAsia="Century Gothic" w:hAnsi="Arial" w:cs="Arial"/>
                <w:sz w:val="18"/>
                <w:szCs w:val="18"/>
              </w:rPr>
              <w:t xml:space="preserve">’ and ‘Ghosting’. </w:t>
            </w:r>
          </w:p>
          <w:p w:rsidR="00E8702C" w:rsidRPr="00E8702C" w:rsidRDefault="00E8702C" w:rsidP="00E8702C">
            <w:pPr>
              <w:numPr>
                <w:ilvl w:val="0"/>
                <w:numId w:val="3"/>
              </w:numPr>
              <w:spacing w:line="259" w:lineRule="auto"/>
              <w:ind w:hanging="142"/>
              <w:rPr>
                <w:rFonts w:ascii="Arial" w:hAnsi="Arial" w:cs="Arial"/>
                <w:sz w:val="18"/>
                <w:szCs w:val="18"/>
              </w:rPr>
            </w:pPr>
            <w:r w:rsidRPr="00E8702C">
              <w:rPr>
                <w:rFonts w:ascii="Arial" w:eastAsia="Century Gothic" w:hAnsi="Arial" w:cs="Arial"/>
                <w:sz w:val="18"/>
                <w:szCs w:val="18"/>
              </w:rPr>
              <w:t xml:space="preserve">Curating our timeline. </w:t>
            </w:r>
          </w:p>
          <w:p w:rsidR="00E8702C" w:rsidRPr="00E8702C" w:rsidRDefault="00E8702C" w:rsidP="00E8702C">
            <w:pPr>
              <w:numPr>
                <w:ilvl w:val="0"/>
                <w:numId w:val="3"/>
              </w:numPr>
              <w:spacing w:after="34" w:line="239" w:lineRule="auto"/>
              <w:ind w:hanging="142"/>
              <w:rPr>
                <w:rFonts w:ascii="Arial" w:hAnsi="Arial" w:cs="Arial"/>
                <w:sz w:val="18"/>
                <w:szCs w:val="18"/>
              </w:rPr>
            </w:pPr>
            <w:r w:rsidRPr="00E8702C">
              <w:rPr>
                <w:rFonts w:ascii="Arial" w:eastAsia="Century Gothic" w:hAnsi="Arial" w:cs="Arial"/>
                <w:sz w:val="18"/>
                <w:szCs w:val="18"/>
              </w:rPr>
              <w:t xml:space="preserve">Self-help for our online behaviours. </w:t>
            </w:r>
          </w:p>
          <w:p w:rsidR="00E8702C" w:rsidRPr="00E8702C" w:rsidRDefault="00E8702C" w:rsidP="00E8702C">
            <w:pPr>
              <w:numPr>
                <w:ilvl w:val="0"/>
                <w:numId w:val="3"/>
              </w:numPr>
              <w:spacing w:line="259" w:lineRule="auto"/>
              <w:ind w:hanging="142"/>
              <w:rPr>
                <w:rFonts w:ascii="Arial" w:hAnsi="Arial" w:cs="Arial"/>
                <w:sz w:val="18"/>
                <w:szCs w:val="18"/>
              </w:rPr>
            </w:pPr>
            <w:r w:rsidRPr="00E8702C">
              <w:rPr>
                <w:rFonts w:ascii="Arial" w:eastAsia="Century Gothic" w:hAnsi="Arial" w:cs="Arial"/>
                <w:sz w:val="18"/>
                <w:szCs w:val="18"/>
              </w:rPr>
              <w:t xml:space="preserve">What makes a healthy online relationship? </w:t>
            </w:r>
          </w:p>
          <w:p w:rsidR="00E8702C" w:rsidRPr="00E8702C" w:rsidRDefault="00E8702C" w:rsidP="00E8702C">
            <w:pPr>
              <w:spacing w:line="259" w:lineRule="auto"/>
              <w:rPr>
                <w:rFonts w:ascii="Arial" w:hAnsi="Arial" w:cs="Arial"/>
                <w:sz w:val="18"/>
                <w:szCs w:val="18"/>
              </w:rPr>
            </w:pPr>
          </w:p>
          <w:p w:rsidR="00E8702C" w:rsidRPr="00E8702C" w:rsidRDefault="00E8702C" w:rsidP="00E8702C">
            <w:pPr>
              <w:spacing w:line="259" w:lineRule="auto"/>
              <w:rPr>
                <w:rFonts w:ascii="Arial" w:hAnsi="Arial" w:cs="Arial"/>
                <w:b/>
                <w:sz w:val="18"/>
                <w:szCs w:val="18"/>
              </w:rPr>
            </w:pPr>
            <w:r w:rsidRPr="00E8702C">
              <w:rPr>
                <w:rFonts w:ascii="Arial" w:hAnsi="Arial" w:cs="Arial"/>
                <w:b/>
                <w:sz w:val="18"/>
                <w:szCs w:val="18"/>
              </w:rPr>
              <w:t>CEIAG:</w:t>
            </w:r>
          </w:p>
          <w:p w:rsidR="00E8702C" w:rsidRPr="00E8702C" w:rsidRDefault="00E8702C" w:rsidP="00E8702C">
            <w:pPr>
              <w:pStyle w:val="ListParagraph"/>
              <w:numPr>
                <w:ilvl w:val="0"/>
                <w:numId w:val="7"/>
              </w:numPr>
              <w:rPr>
                <w:rFonts w:ascii="Arial" w:hAnsi="Arial" w:cs="Arial"/>
                <w:sz w:val="18"/>
                <w:szCs w:val="18"/>
              </w:rPr>
            </w:pPr>
            <w:r w:rsidRPr="00E8702C">
              <w:rPr>
                <w:rFonts w:ascii="Arial" w:hAnsi="Arial" w:cs="Arial"/>
                <w:sz w:val="18"/>
                <w:szCs w:val="18"/>
              </w:rPr>
              <w:t xml:space="preserve">Work experience preparation. </w:t>
            </w:r>
          </w:p>
        </w:tc>
        <w:tc>
          <w:tcPr>
            <w:tcW w:w="2410"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spacing w:line="239" w:lineRule="auto"/>
              <w:ind w:left="2"/>
              <w:rPr>
                <w:rFonts w:ascii="Arial" w:hAnsi="Arial" w:cs="Arial"/>
                <w:sz w:val="18"/>
                <w:szCs w:val="18"/>
              </w:rPr>
            </w:pPr>
            <w:r w:rsidRPr="00E8702C">
              <w:rPr>
                <w:rFonts w:ascii="Arial" w:eastAsia="Century Gothic" w:hAnsi="Arial" w:cs="Arial"/>
                <w:b/>
                <w:sz w:val="18"/>
                <w:szCs w:val="18"/>
              </w:rPr>
              <w:t xml:space="preserve">Mental Wellbeing: Common Factors that Affect Mental Health.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Everyday stress triggers.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Issues with schoolwork. </w:t>
            </w:r>
          </w:p>
          <w:p w:rsidR="00E8702C" w:rsidRPr="00E8702C" w:rsidRDefault="00E8702C" w:rsidP="00E8702C">
            <w:pPr>
              <w:numPr>
                <w:ilvl w:val="0"/>
                <w:numId w:val="4"/>
              </w:numPr>
              <w:spacing w:line="242" w:lineRule="auto"/>
              <w:ind w:hanging="142"/>
              <w:rPr>
                <w:rFonts w:ascii="Arial" w:hAnsi="Arial" w:cs="Arial"/>
                <w:sz w:val="18"/>
                <w:szCs w:val="18"/>
              </w:rPr>
            </w:pPr>
            <w:r w:rsidRPr="00E8702C">
              <w:rPr>
                <w:rFonts w:ascii="Arial" w:eastAsia="Century Gothic" w:hAnsi="Arial" w:cs="Arial"/>
                <w:sz w:val="18"/>
                <w:szCs w:val="18"/>
              </w:rPr>
              <w:t xml:space="preserve">Impact of drugs and alcohol.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Bullying. </w:t>
            </w:r>
          </w:p>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Mental Wellbeing: </w:t>
            </w:r>
          </w:p>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Extreme Factors that </w:t>
            </w:r>
          </w:p>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Affect Mental Health.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Violence and aggression.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Anti-social behaviour. </w:t>
            </w:r>
          </w:p>
          <w:p w:rsidR="00E8702C" w:rsidRPr="00E8702C" w:rsidRDefault="00E8702C" w:rsidP="00E8702C">
            <w:pPr>
              <w:numPr>
                <w:ilvl w:val="0"/>
                <w:numId w:val="4"/>
              </w:numPr>
              <w:spacing w:after="17" w:line="242" w:lineRule="auto"/>
              <w:ind w:hanging="142"/>
              <w:rPr>
                <w:rFonts w:ascii="Arial" w:hAnsi="Arial" w:cs="Arial"/>
                <w:sz w:val="18"/>
                <w:szCs w:val="18"/>
              </w:rPr>
            </w:pPr>
            <w:r w:rsidRPr="00E8702C">
              <w:rPr>
                <w:rFonts w:ascii="Arial" w:eastAsia="Century Gothic" w:hAnsi="Arial" w:cs="Arial"/>
                <w:sz w:val="18"/>
                <w:szCs w:val="18"/>
              </w:rPr>
              <w:t xml:space="preserve">Violent extremism and links to mental health. </w:t>
            </w:r>
          </w:p>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CEIAG: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Study skills and habits.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CV building.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Interview preparation. </w:t>
            </w:r>
          </w:p>
          <w:p w:rsidR="00E8702C" w:rsidRPr="00E8702C" w:rsidRDefault="00E8702C" w:rsidP="00E8702C">
            <w:pPr>
              <w:numPr>
                <w:ilvl w:val="0"/>
                <w:numId w:val="4"/>
              </w:numPr>
              <w:spacing w:line="259" w:lineRule="auto"/>
              <w:ind w:hanging="142"/>
              <w:rPr>
                <w:rFonts w:ascii="Arial" w:hAnsi="Arial" w:cs="Arial"/>
                <w:sz w:val="18"/>
                <w:szCs w:val="18"/>
              </w:rPr>
            </w:pPr>
            <w:r w:rsidRPr="00E8702C">
              <w:rPr>
                <w:rFonts w:ascii="Arial" w:eastAsia="Century Gothic" w:hAnsi="Arial" w:cs="Arial"/>
                <w:sz w:val="18"/>
                <w:szCs w:val="18"/>
              </w:rPr>
              <w:t xml:space="preserve">Application preparation. </w:t>
            </w:r>
          </w:p>
          <w:p w:rsidR="00E8702C" w:rsidRPr="00E8702C" w:rsidRDefault="00E8702C" w:rsidP="00945F3C">
            <w:pPr>
              <w:ind w:left="245"/>
              <w:rPr>
                <w:rFonts w:ascii="Arial" w:hAnsi="Arial" w:cs="Arial"/>
                <w:sz w:val="18"/>
                <w:szCs w:val="18"/>
              </w:rPr>
            </w:pPr>
            <w:r w:rsidRPr="00E8702C">
              <w:rPr>
                <w:rFonts w:ascii="Arial" w:eastAsia="Century Gothic" w:hAnsi="Arial" w:cs="Arial"/>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CEIAG: </w:t>
            </w:r>
          </w:p>
          <w:p w:rsidR="00E8702C" w:rsidRPr="00E8702C" w:rsidRDefault="00E8702C" w:rsidP="00E8702C">
            <w:pPr>
              <w:numPr>
                <w:ilvl w:val="0"/>
                <w:numId w:val="5"/>
              </w:numPr>
              <w:spacing w:line="259" w:lineRule="auto"/>
              <w:ind w:hanging="142"/>
              <w:rPr>
                <w:rFonts w:ascii="Arial" w:hAnsi="Arial" w:cs="Arial"/>
                <w:sz w:val="18"/>
                <w:szCs w:val="18"/>
              </w:rPr>
            </w:pPr>
            <w:r w:rsidRPr="00E8702C">
              <w:rPr>
                <w:rFonts w:ascii="Arial" w:eastAsia="Century Gothic" w:hAnsi="Arial" w:cs="Arial"/>
                <w:sz w:val="18"/>
                <w:szCs w:val="18"/>
              </w:rPr>
              <w:t xml:space="preserve">Getting experience </w:t>
            </w:r>
          </w:p>
          <w:p w:rsidR="00E8702C" w:rsidRPr="00E8702C" w:rsidRDefault="00E8702C" w:rsidP="00E8702C">
            <w:pPr>
              <w:numPr>
                <w:ilvl w:val="0"/>
                <w:numId w:val="5"/>
              </w:numPr>
              <w:spacing w:line="242" w:lineRule="auto"/>
              <w:ind w:hanging="142"/>
              <w:rPr>
                <w:rFonts w:ascii="Arial" w:hAnsi="Arial" w:cs="Arial"/>
                <w:sz w:val="18"/>
                <w:szCs w:val="18"/>
              </w:rPr>
            </w:pPr>
            <w:r w:rsidRPr="00E8702C">
              <w:rPr>
                <w:rFonts w:ascii="Arial" w:eastAsia="Century Gothic" w:hAnsi="Arial" w:cs="Arial"/>
                <w:sz w:val="18"/>
                <w:szCs w:val="18"/>
              </w:rPr>
              <w:t xml:space="preserve">College and university taster days </w:t>
            </w:r>
          </w:p>
          <w:p w:rsidR="00E8702C" w:rsidRPr="00E8702C" w:rsidRDefault="00E8702C" w:rsidP="00E8702C">
            <w:pPr>
              <w:numPr>
                <w:ilvl w:val="0"/>
                <w:numId w:val="5"/>
              </w:numPr>
              <w:spacing w:line="242" w:lineRule="auto"/>
              <w:ind w:hanging="142"/>
              <w:rPr>
                <w:rFonts w:ascii="Arial" w:hAnsi="Arial" w:cs="Arial"/>
                <w:sz w:val="18"/>
                <w:szCs w:val="18"/>
              </w:rPr>
            </w:pPr>
            <w:r w:rsidRPr="00E8702C">
              <w:rPr>
                <w:rFonts w:ascii="Arial" w:eastAsia="Century Gothic" w:hAnsi="Arial" w:cs="Arial"/>
                <w:sz w:val="18"/>
                <w:szCs w:val="18"/>
              </w:rPr>
              <w:t xml:space="preserve">Post-16 options </w:t>
            </w:r>
            <w:proofErr w:type="gramStart"/>
            <w:r w:rsidRPr="00E8702C">
              <w:rPr>
                <w:rFonts w:ascii="Arial" w:eastAsia="Century Gothic" w:hAnsi="Arial" w:cs="Arial"/>
                <w:sz w:val="18"/>
                <w:szCs w:val="18"/>
              </w:rPr>
              <w:t>talks</w:t>
            </w:r>
            <w:proofErr w:type="gramEnd"/>
            <w:r w:rsidRPr="00E8702C">
              <w:rPr>
                <w:rFonts w:ascii="Arial" w:eastAsia="Century Gothic" w:hAnsi="Arial" w:cs="Arial"/>
                <w:sz w:val="18"/>
                <w:szCs w:val="18"/>
              </w:rPr>
              <w:t xml:space="preserve"> with LA Careers advisor. </w:t>
            </w:r>
          </w:p>
          <w:p w:rsidR="00E8702C" w:rsidRPr="00E8702C" w:rsidRDefault="00E8702C" w:rsidP="00945F3C">
            <w:pPr>
              <w:spacing w:after="7"/>
              <w:ind w:left="245"/>
              <w:rPr>
                <w:rFonts w:ascii="Arial" w:hAnsi="Arial" w:cs="Arial"/>
                <w:sz w:val="18"/>
                <w:szCs w:val="18"/>
              </w:rPr>
            </w:pPr>
            <w:r w:rsidRPr="00E8702C">
              <w:rPr>
                <w:rFonts w:ascii="Arial" w:eastAsia="Century Gothic" w:hAnsi="Arial" w:cs="Arial"/>
                <w:sz w:val="18"/>
                <w:szCs w:val="18"/>
              </w:rPr>
              <w:t xml:space="preserve">(Easter) </w:t>
            </w:r>
          </w:p>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t xml:space="preserve">Responsive Curriculum: </w:t>
            </w:r>
          </w:p>
          <w:p w:rsidR="00E8702C" w:rsidRPr="00E8702C" w:rsidRDefault="00E8702C" w:rsidP="00E8702C">
            <w:pPr>
              <w:numPr>
                <w:ilvl w:val="0"/>
                <w:numId w:val="5"/>
              </w:numPr>
              <w:spacing w:after="20" w:line="241" w:lineRule="auto"/>
              <w:ind w:hanging="142"/>
              <w:rPr>
                <w:rFonts w:ascii="Arial" w:hAnsi="Arial" w:cs="Arial"/>
                <w:sz w:val="18"/>
                <w:szCs w:val="18"/>
              </w:rPr>
            </w:pPr>
            <w:r w:rsidRPr="00E8702C">
              <w:rPr>
                <w:rFonts w:ascii="Arial" w:eastAsia="Century Gothic" w:hAnsi="Arial" w:cs="Arial"/>
                <w:sz w:val="18"/>
                <w:szCs w:val="18"/>
              </w:rPr>
              <w:t xml:space="preserve">Responses to national, local, and whole school priorities.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w:t>
            </w:r>
          </w:p>
          <w:p w:rsidR="00E8702C" w:rsidRPr="00E8702C" w:rsidRDefault="00E8702C" w:rsidP="00945F3C">
            <w:pPr>
              <w:spacing w:after="21" w:line="241" w:lineRule="auto"/>
              <w:ind w:left="2" w:right="38"/>
              <w:rPr>
                <w:rFonts w:ascii="Arial" w:hAnsi="Arial" w:cs="Arial"/>
                <w:sz w:val="18"/>
                <w:szCs w:val="18"/>
              </w:rPr>
            </w:pPr>
            <w:r w:rsidRPr="00E8702C">
              <w:rPr>
                <w:rFonts w:ascii="Arial" w:eastAsia="Century Gothic" w:hAnsi="Arial" w:cs="Arial"/>
                <w:sz w:val="18"/>
                <w:szCs w:val="18"/>
              </w:rPr>
              <w:t xml:space="preserve">As preparing students for life in modern Britain is a key part of the PSHE curriculum, these lessons may well be interspersed throughout the academic year. These lessons would address year group or school needs as they arise or have a particular national or local focus where appropriate.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spacing w:line="239" w:lineRule="auto"/>
              <w:rPr>
                <w:rFonts w:ascii="Arial" w:hAnsi="Arial" w:cs="Arial"/>
                <w:sz w:val="18"/>
                <w:szCs w:val="18"/>
              </w:rPr>
            </w:pPr>
            <w:r w:rsidRPr="00E8702C">
              <w:rPr>
                <w:rFonts w:ascii="Arial" w:eastAsia="Century Gothic" w:hAnsi="Arial" w:cs="Arial"/>
                <w:b/>
                <w:sz w:val="18"/>
                <w:szCs w:val="18"/>
              </w:rPr>
              <w:t xml:space="preserve">Religious and World Beliefs: </w:t>
            </w:r>
          </w:p>
          <w:p w:rsidR="00E8702C" w:rsidRPr="00E8702C" w:rsidRDefault="00E8702C" w:rsidP="00E8702C">
            <w:pPr>
              <w:numPr>
                <w:ilvl w:val="0"/>
                <w:numId w:val="6"/>
              </w:numPr>
              <w:spacing w:after="3" w:line="239" w:lineRule="auto"/>
              <w:ind w:hanging="142"/>
              <w:rPr>
                <w:rFonts w:ascii="Arial" w:hAnsi="Arial" w:cs="Arial"/>
                <w:sz w:val="18"/>
                <w:szCs w:val="18"/>
              </w:rPr>
            </w:pPr>
            <w:r w:rsidRPr="00E8702C">
              <w:rPr>
                <w:rFonts w:ascii="Arial" w:eastAsia="Century Gothic" w:hAnsi="Arial" w:cs="Arial"/>
                <w:sz w:val="18"/>
                <w:szCs w:val="18"/>
              </w:rPr>
              <w:t xml:space="preserve">Core religious beliefs and practices. </w:t>
            </w:r>
          </w:p>
          <w:p w:rsidR="00E8702C" w:rsidRPr="00E8702C" w:rsidRDefault="00E8702C" w:rsidP="00E8702C">
            <w:pPr>
              <w:numPr>
                <w:ilvl w:val="0"/>
                <w:numId w:val="6"/>
              </w:numPr>
              <w:spacing w:line="259" w:lineRule="auto"/>
              <w:ind w:hanging="142"/>
              <w:rPr>
                <w:rFonts w:ascii="Arial" w:hAnsi="Arial" w:cs="Arial"/>
                <w:sz w:val="18"/>
                <w:szCs w:val="18"/>
              </w:rPr>
            </w:pPr>
            <w:r w:rsidRPr="00E8702C">
              <w:rPr>
                <w:rFonts w:ascii="Arial" w:eastAsia="Century Gothic" w:hAnsi="Arial" w:cs="Arial"/>
                <w:sz w:val="18"/>
                <w:szCs w:val="18"/>
              </w:rPr>
              <w:t xml:space="preserve">Living religions. </w:t>
            </w:r>
          </w:p>
          <w:p w:rsidR="00E8702C" w:rsidRPr="00E8702C" w:rsidRDefault="00E8702C" w:rsidP="00E8702C">
            <w:pPr>
              <w:numPr>
                <w:ilvl w:val="0"/>
                <w:numId w:val="6"/>
              </w:numPr>
              <w:spacing w:line="259" w:lineRule="auto"/>
              <w:ind w:hanging="142"/>
              <w:rPr>
                <w:rFonts w:ascii="Arial" w:hAnsi="Arial" w:cs="Arial"/>
                <w:sz w:val="18"/>
                <w:szCs w:val="18"/>
              </w:rPr>
            </w:pPr>
            <w:r w:rsidRPr="00E8702C">
              <w:rPr>
                <w:rFonts w:ascii="Arial" w:eastAsia="Century Gothic" w:hAnsi="Arial" w:cs="Arial"/>
                <w:sz w:val="18"/>
                <w:szCs w:val="18"/>
              </w:rPr>
              <w:t xml:space="preserve">Religions in the news.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tc>
      </w:tr>
      <w:tr w:rsidR="00E8702C" w:rsidRPr="00E8702C" w:rsidTr="00E8702C">
        <w:trPr>
          <w:gridAfter w:val="1"/>
          <w:wAfter w:w="78" w:type="dxa"/>
          <w:trHeight w:val="1433"/>
        </w:trPr>
        <w:tc>
          <w:tcPr>
            <w:tcW w:w="15311" w:type="dxa"/>
            <w:gridSpan w:val="6"/>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ind w:left="2"/>
              <w:rPr>
                <w:rFonts w:ascii="Arial" w:hAnsi="Arial" w:cs="Arial"/>
                <w:sz w:val="18"/>
                <w:szCs w:val="18"/>
              </w:rPr>
            </w:pPr>
            <w:r w:rsidRPr="00E8702C">
              <w:rPr>
                <w:rFonts w:ascii="Arial" w:eastAsia="Century Gothic" w:hAnsi="Arial" w:cs="Arial"/>
                <w:b/>
                <w:sz w:val="18"/>
                <w:szCs w:val="18"/>
              </w:rPr>
              <w:lastRenderedPageBreak/>
              <w:t xml:space="preserve">Through the use of stories, examples, and scenarios, students will reflect on the characters’ choices, consider decisions for them, and engage with their experiences. Other skills practised at an age-appropriate level are: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Empathy.                                   </w:t>
            </w:r>
            <w:bookmarkStart w:id="0" w:name="_GoBack"/>
            <w:bookmarkEnd w:id="0"/>
            <w:r w:rsidRPr="00E8702C">
              <w:rPr>
                <w:rFonts w:ascii="Arial" w:eastAsia="Century Gothic" w:hAnsi="Arial" w:cs="Arial"/>
                <w:sz w:val="18"/>
                <w:szCs w:val="18"/>
              </w:rPr>
              <w:t xml:space="preserve">                                                                                          ○ Treating others with care and respect.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Connection making.                                                                                                          ○ Reflection on the human experience.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Knowledge to make their own informed lifestyle decisions (within the law).             ○ Deep reflection and consideration of perspective.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Debate and </w:t>
            </w:r>
            <w:proofErr w:type="spellStart"/>
            <w:r w:rsidRPr="00E8702C">
              <w:rPr>
                <w:rFonts w:ascii="Arial" w:eastAsia="Century Gothic" w:hAnsi="Arial" w:cs="Arial"/>
                <w:sz w:val="18"/>
                <w:szCs w:val="18"/>
              </w:rPr>
              <w:t>oracy</w:t>
            </w:r>
            <w:proofErr w:type="spellEnd"/>
            <w:r w:rsidRPr="00E8702C">
              <w:rPr>
                <w:rFonts w:ascii="Arial" w:eastAsia="Century Gothic" w:hAnsi="Arial" w:cs="Arial"/>
                <w:sz w:val="18"/>
                <w:szCs w:val="18"/>
              </w:rPr>
              <w:t xml:space="preserve"> skills.                                                                                                    ○ Resilience. </w:t>
            </w:r>
          </w:p>
          <w:p w:rsidR="00E8702C" w:rsidRPr="00E8702C" w:rsidRDefault="00E8702C" w:rsidP="00945F3C">
            <w:pPr>
              <w:ind w:left="2"/>
              <w:rPr>
                <w:rFonts w:ascii="Arial" w:hAnsi="Arial" w:cs="Arial"/>
                <w:sz w:val="18"/>
                <w:szCs w:val="18"/>
              </w:rPr>
            </w:pPr>
            <w:r w:rsidRPr="00E8702C">
              <w:rPr>
                <w:rFonts w:ascii="Arial" w:eastAsia="Century Gothic" w:hAnsi="Arial" w:cs="Arial"/>
                <w:sz w:val="18"/>
                <w:szCs w:val="18"/>
              </w:rPr>
              <w:t xml:space="preserve">○ Equality and inclusivity.                                                                                                      ○ Maintaining their own self-care. </w:t>
            </w:r>
          </w:p>
        </w:tc>
      </w:tr>
      <w:tr w:rsidR="00E8702C" w:rsidRPr="00E8702C" w:rsidTr="00E8702C">
        <w:trPr>
          <w:gridAfter w:val="1"/>
          <w:wAfter w:w="78" w:type="dxa"/>
          <w:trHeight w:val="2047"/>
        </w:trPr>
        <w:tc>
          <w:tcPr>
            <w:tcW w:w="219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Ongoing formative assessment through regular retrieval and checking for understanding though quizzing, questioning and mini-whiteboards.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Ongoing formative assessment through regular retrieval and checking for understanding though quizzing, questioning and mini-whiteboards. </w:t>
            </w:r>
          </w:p>
          <w:p w:rsidR="00E8702C" w:rsidRPr="00E8702C" w:rsidRDefault="00E8702C" w:rsidP="00945F3C">
            <w:pPr>
              <w:spacing w:line="239" w:lineRule="auto"/>
              <w:ind w:right="236"/>
              <w:jc w:val="both"/>
              <w:rPr>
                <w:rFonts w:ascii="Arial" w:hAnsi="Arial" w:cs="Arial"/>
                <w:sz w:val="18"/>
                <w:szCs w:val="18"/>
              </w:rPr>
            </w:pPr>
          </w:p>
          <w:p w:rsidR="00E8702C" w:rsidRPr="00E8702C" w:rsidRDefault="00E8702C" w:rsidP="00945F3C">
            <w:pPr>
              <w:spacing w:line="239" w:lineRule="auto"/>
              <w:ind w:right="236"/>
              <w:jc w:val="both"/>
              <w:rPr>
                <w:rFonts w:ascii="Arial" w:hAnsi="Arial" w:cs="Arial"/>
                <w:sz w:val="18"/>
                <w:szCs w:val="18"/>
              </w:rPr>
            </w:pPr>
          </w:p>
          <w:p w:rsidR="00E8702C" w:rsidRPr="00E8702C" w:rsidRDefault="00E8702C" w:rsidP="00945F3C">
            <w:pPr>
              <w:spacing w:line="239" w:lineRule="auto"/>
              <w:ind w:right="236"/>
              <w:jc w:val="both"/>
              <w:rPr>
                <w:rFonts w:ascii="Arial" w:hAnsi="Arial" w:cs="Arial"/>
                <w:sz w:val="18"/>
                <w:szCs w:val="18"/>
              </w:rPr>
            </w:pPr>
            <w:r w:rsidRPr="00E8702C">
              <w:rPr>
                <w:rFonts w:ascii="Arial" w:hAnsi="Arial" w:cs="Arial"/>
                <w:sz w:val="18"/>
                <w:szCs w:val="18"/>
              </w:rPr>
              <w:t xml:space="preserve">Termly quiz to consolidate content learnt. </w:t>
            </w:r>
          </w:p>
          <w:p w:rsidR="00E8702C" w:rsidRPr="00E8702C" w:rsidRDefault="00E8702C" w:rsidP="00945F3C">
            <w:pPr>
              <w:spacing w:after="96"/>
              <w:rPr>
                <w:rFonts w:ascii="Arial" w:hAnsi="Arial" w:cs="Arial"/>
                <w:sz w:val="18"/>
                <w:szCs w:val="18"/>
              </w:rPr>
            </w:pPr>
            <w:r w:rsidRPr="00E8702C">
              <w:rPr>
                <w:rFonts w:ascii="Arial" w:eastAsia="Century Gothic" w:hAnsi="Arial" w:cs="Arial"/>
                <w:sz w:val="18"/>
                <w:szCs w:val="18"/>
              </w:rPr>
              <w:t xml:space="preserve">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Ongoing formative assessment through regular retrieval and checking for understanding though quizzing, questioning and mini-whiteboards. </w:t>
            </w:r>
          </w:p>
          <w:p w:rsidR="00E8702C" w:rsidRPr="00E8702C" w:rsidRDefault="00E8702C" w:rsidP="00945F3C">
            <w:pPr>
              <w:rPr>
                <w:rFonts w:ascii="Arial" w:hAnsi="Arial" w:cs="Arial"/>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Ongoing formative assessment through regular retrieval and checking for understanding though quizzing, questioning and mini-whiteboards. </w:t>
            </w:r>
          </w:p>
          <w:p w:rsidR="00E8702C" w:rsidRPr="00E8702C" w:rsidRDefault="00E8702C" w:rsidP="00945F3C">
            <w:pPr>
              <w:spacing w:line="239" w:lineRule="auto"/>
              <w:ind w:right="236"/>
              <w:jc w:val="both"/>
              <w:rPr>
                <w:rFonts w:ascii="Arial" w:hAnsi="Arial" w:cs="Arial"/>
                <w:sz w:val="18"/>
                <w:szCs w:val="18"/>
              </w:rPr>
            </w:pPr>
          </w:p>
          <w:p w:rsidR="00E8702C" w:rsidRPr="00E8702C" w:rsidRDefault="00E8702C" w:rsidP="00945F3C">
            <w:pPr>
              <w:spacing w:line="239" w:lineRule="auto"/>
              <w:ind w:right="236"/>
              <w:jc w:val="both"/>
              <w:rPr>
                <w:rFonts w:ascii="Arial" w:hAnsi="Arial" w:cs="Arial"/>
                <w:sz w:val="18"/>
                <w:szCs w:val="18"/>
              </w:rPr>
            </w:pPr>
          </w:p>
          <w:p w:rsidR="00E8702C" w:rsidRPr="00E8702C" w:rsidRDefault="00E8702C" w:rsidP="00945F3C">
            <w:pPr>
              <w:spacing w:line="239" w:lineRule="auto"/>
              <w:ind w:right="236"/>
              <w:jc w:val="both"/>
              <w:rPr>
                <w:rFonts w:ascii="Arial" w:hAnsi="Arial" w:cs="Arial"/>
                <w:sz w:val="18"/>
                <w:szCs w:val="18"/>
              </w:rPr>
            </w:pPr>
            <w:r w:rsidRPr="00E8702C">
              <w:rPr>
                <w:rFonts w:ascii="Arial" w:hAnsi="Arial" w:cs="Arial"/>
                <w:sz w:val="18"/>
                <w:szCs w:val="18"/>
              </w:rPr>
              <w:t xml:space="preserve">Termly quiz to consolidate content learnt. </w:t>
            </w:r>
          </w:p>
          <w:p w:rsidR="00E8702C" w:rsidRPr="00E8702C" w:rsidRDefault="00E8702C" w:rsidP="00945F3C">
            <w:pP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Ongoing formative assessment through regular retrieval and checking for understanding though quizzing, questioning and mini-whiteboards. </w:t>
            </w:r>
          </w:p>
          <w:p w:rsidR="00E8702C" w:rsidRPr="00E8702C" w:rsidRDefault="00E8702C" w:rsidP="00945F3C">
            <w:pPr>
              <w:rPr>
                <w:rFonts w:ascii="Arial" w:hAnsi="Arial" w:cs="Arial"/>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Ongoing formative assessment through regular retrieval and checking for understanding though quizzing, questioning and mini-whiteboards. </w:t>
            </w:r>
          </w:p>
          <w:p w:rsidR="00E8702C" w:rsidRPr="00E8702C" w:rsidRDefault="00E8702C" w:rsidP="00945F3C">
            <w:pPr>
              <w:spacing w:line="239" w:lineRule="auto"/>
              <w:ind w:right="236"/>
              <w:jc w:val="both"/>
              <w:rPr>
                <w:rFonts w:ascii="Arial" w:hAnsi="Arial" w:cs="Arial"/>
                <w:sz w:val="18"/>
                <w:szCs w:val="18"/>
              </w:rPr>
            </w:pPr>
          </w:p>
          <w:p w:rsidR="00E8702C" w:rsidRPr="00E8702C" w:rsidRDefault="00E8702C" w:rsidP="00945F3C">
            <w:pPr>
              <w:spacing w:line="239" w:lineRule="auto"/>
              <w:ind w:right="236"/>
              <w:jc w:val="both"/>
              <w:rPr>
                <w:rFonts w:ascii="Arial" w:hAnsi="Arial" w:cs="Arial"/>
                <w:sz w:val="18"/>
                <w:szCs w:val="18"/>
              </w:rPr>
            </w:pPr>
          </w:p>
          <w:p w:rsidR="00E8702C" w:rsidRPr="00E8702C" w:rsidRDefault="00E8702C" w:rsidP="00945F3C">
            <w:pPr>
              <w:spacing w:line="239" w:lineRule="auto"/>
              <w:ind w:right="236"/>
              <w:jc w:val="both"/>
              <w:rPr>
                <w:rFonts w:ascii="Arial" w:hAnsi="Arial" w:cs="Arial"/>
                <w:sz w:val="18"/>
                <w:szCs w:val="18"/>
              </w:rPr>
            </w:pPr>
            <w:r w:rsidRPr="00E8702C">
              <w:rPr>
                <w:rFonts w:ascii="Arial" w:hAnsi="Arial" w:cs="Arial"/>
                <w:sz w:val="18"/>
                <w:szCs w:val="18"/>
              </w:rPr>
              <w:t xml:space="preserve">Termly quiz to consolidate content learnt.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p w:rsidR="00E8702C" w:rsidRPr="00E8702C" w:rsidRDefault="00E8702C" w:rsidP="00945F3C">
            <w:pPr>
              <w:rPr>
                <w:rFonts w:ascii="Arial" w:hAnsi="Arial" w:cs="Arial"/>
                <w:sz w:val="18"/>
                <w:szCs w:val="18"/>
              </w:rPr>
            </w:pPr>
            <w:r w:rsidRPr="00E8702C">
              <w:rPr>
                <w:rFonts w:ascii="Arial" w:eastAsia="Century Gothic" w:hAnsi="Arial" w:cs="Arial"/>
                <w:sz w:val="18"/>
                <w:szCs w:val="18"/>
              </w:rPr>
              <w:t xml:space="preserve"> </w:t>
            </w:r>
          </w:p>
        </w:tc>
      </w:tr>
    </w:tbl>
    <w:p w:rsidR="00040563" w:rsidRPr="00E8702C" w:rsidRDefault="00040563">
      <w:pPr>
        <w:rPr>
          <w:rFonts w:ascii="Arial" w:hAnsi="Arial" w:cs="Arial"/>
          <w:sz w:val="18"/>
          <w:szCs w:val="18"/>
        </w:rPr>
      </w:pPr>
    </w:p>
    <w:sectPr w:rsidR="00040563" w:rsidRPr="00E8702C" w:rsidSect="00E870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418"/>
    <w:multiLevelType w:val="hybridMultilevel"/>
    <w:tmpl w:val="5A68B098"/>
    <w:lvl w:ilvl="0" w:tplc="444EF80E">
      <w:start w:val="1"/>
      <w:numFmt w:val="bullet"/>
      <w:lvlText w:val="•"/>
      <w:lvlJc w:val="left"/>
      <w:pPr>
        <w:ind w:left="2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8F0B6FE">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C5246996">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668EE02">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0FA98E6">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0408566">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8504072">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0D091FC">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80F47E">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7FF7B42"/>
    <w:multiLevelType w:val="hybridMultilevel"/>
    <w:tmpl w:val="E160E3D8"/>
    <w:lvl w:ilvl="0" w:tplc="70328AAA">
      <w:start w:val="1"/>
      <w:numFmt w:val="bullet"/>
      <w:lvlText w:val="•"/>
      <w:lvlJc w:val="left"/>
      <w:pPr>
        <w:ind w:left="2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92E4256">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9CEB12A">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F10FE9C">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5AEF546">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1C4670A">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E1E16AE">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7228264">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8AE317C">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FA30A2B"/>
    <w:multiLevelType w:val="hybridMultilevel"/>
    <w:tmpl w:val="954E621A"/>
    <w:lvl w:ilvl="0" w:tplc="D3C23CE0">
      <w:start w:val="1"/>
      <w:numFmt w:val="bullet"/>
      <w:lvlText w:val="•"/>
      <w:lvlJc w:val="left"/>
      <w:pPr>
        <w:ind w:left="2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C6AE57A">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F52AC0C">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68C6676">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8CC1664">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AB6946C">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AA42C50">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9809DF6">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79E8ECE">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5795747"/>
    <w:multiLevelType w:val="hybridMultilevel"/>
    <w:tmpl w:val="F3B4CF44"/>
    <w:lvl w:ilvl="0" w:tplc="EB22077A">
      <w:start w:val="1"/>
      <w:numFmt w:val="bullet"/>
      <w:lvlText w:val="•"/>
      <w:lvlJc w:val="left"/>
      <w:pPr>
        <w:ind w:left="2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4549660">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CB66DE6">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700E2A9A">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914AD04">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06A6637C">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EA80F246">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DB0F91E">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88B884EE">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427E0DD6"/>
    <w:multiLevelType w:val="hybridMultilevel"/>
    <w:tmpl w:val="FE382DF6"/>
    <w:lvl w:ilvl="0" w:tplc="7B4EE838">
      <w:start w:val="1"/>
      <w:numFmt w:val="bullet"/>
      <w:lvlText w:val="•"/>
      <w:lvlJc w:val="left"/>
      <w:pPr>
        <w:ind w:left="2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5B8410A">
      <w:start w:val="1"/>
      <w:numFmt w:val="bullet"/>
      <w:lvlText w:val="o"/>
      <w:lvlJc w:val="left"/>
      <w:pPr>
        <w:ind w:left="128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B7A3FF6">
      <w:start w:val="1"/>
      <w:numFmt w:val="bullet"/>
      <w:lvlText w:val="▪"/>
      <w:lvlJc w:val="left"/>
      <w:pPr>
        <w:ind w:left="20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49DCD460">
      <w:start w:val="1"/>
      <w:numFmt w:val="bullet"/>
      <w:lvlText w:val="•"/>
      <w:lvlJc w:val="left"/>
      <w:pPr>
        <w:ind w:left="27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A1206F2">
      <w:start w:val="1"/>
      <w:numFmt w:val="bullet"/>
      <w:lvlText w:val="o"/>
      <w:lvlJc w:val="left"/>
      <w:pPr>
        <w:ind w:left="34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FE2B308">
      <w:start w:val="1"/>
      <w:numFmt w:val="bullet"/>
      <w:lvlText w:val="▪"/>
      <w:lvlJc w:val="left"/>
      <w:pPr>
        <w:ind w:left="416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7AA2984">
      <w:start w:val="1"/>
      <w:numFmt w:val="bullet"/>
      <w:lvlText w:val="•"/>
      <w:lvlJc w:val="left"/>
      <w:pPr>
        <w:ind w:left="48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AE0656C">
      <w:start w:val="1"/>
      <w:numFmt w:val="bullet"/>
      <w:lvlText w:val="o"/>
      <w:lvlJc w:val="left"/>
      <w:pPr>
        <w:ind w:left="56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5A70D5C6">
      <w:start w:val="1"/>
      <w:numFmt w:val="bullet"/>
      <w:lvlText w:val="▪"/>
      <w:lvlJc w:val="left"/>
      <w:pPr>
        <w:ind w:left="63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4CEF422A"/>
    <w:multiLevelType w:val="hybridMultilevel"/>
    <w:tmpl w:val="ECD4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73E27"/>
    <w:multiLevelType w:val="hybridMultilevel"/>
    <w:tmpl w:val="24821C42"/>
    <w:lvl w:ilvl="0" w:tplc="59825E9C">
      <w:start w:val="1"/>
      <w:numFmt w:val="bullet"/>
      <w:lvlText w:val="•"/>
      <w:lvlJc w:val="left"/>
      <w:pPr>
        <w:ind w:left="2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28A60DE">
      <w:start w:val="1"/>
      <w:numFmt w:val="bullet"/>
      <w:lvlText w:val="o"/>
      <w:lvlJc w:val="left"/>
      <w:pPr>
        <w:ind w:left="12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A8E60D50">
      <w:start w:val="1"/>
      <w:numFmt w:val="bullet"/>
      <w:lvlText w:val="▪"/>
      <w:lvlJc w:val="left"/>
      <w:pPr>
        <w:ind w:left="20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001811B8">
      <w:start w:val="1"/>
      <w:numFmt w:val="bullet"/>
      <w:lvlText w:val="•"/>
      <w:lvlJc w:val="left"/>
      <w:pPr>
        <w:ind w:left="27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380697A">
      <w:start w:val="1"/>
      <w:numFmt w:val="bullet"/>
      <w:lvlText w:val="o"/>
      <w:lvlJc w:val="left"/>
      <w:pPr>
        <w:ind w:left="34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E75C471E">
      <w:start w:val="1"/>
      <w:numFmt w:val="bullet"/>
      <w:lvlText w:val="▪"/>
      <w:lvlJc w:val="left"/>
      <w:pPr>
        <w:ind w:left="41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C40CE3A">
      <w:start w:val="1"/>
      <w:numFmt w:val="bullet"/>
      <w:lvlText w:val="•"/>
      <w:lvlJc w:val="left"/>
      <w:pPr>
        <w:ind w:left="48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3AC5E0">
      <w:start w:val="1"/>
      <w:numFmt w:val="bullet"/>
      <w:lvlText w:val="o"/>
      <w:lvlJc w:val="left"/>
      <w:pPr>
        <w:ind w:left="56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A59CC2C4">
      <w:start w:val="1"/>
      <w:numFmt w:val="bullet"/>
      <w:lvlText w:val="▪"/>
      <w:lvlJc w:val="left"/>
      <w:pPr>
        <w:ind w:left="63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2C"/>
    <w:rsid w:val="00040563"/>
    <w:rsid w:val="00E8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9C3C"/>
  <w15:chartTrackingRefBased/>
  <w15:docId w15:val="{A380D455-9BA3-4DA7-92AC-8FCCD55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02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8702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E87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Longdendale High School</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Lowe</dc:creator>
  <cp:keywords/>
  <dc:description/>
  <cp:lastModifiedBy>Gemma Lowe</cp:lastModifiedBy>
  <cp:revision>1</cp:revision>
  <dcterms:created xsi:type="dcterms:W3CDTF">2023-07-20T14:15:00Z</dcterms:created>
  <dcterms:modified xsi:type="dcterms:W3CDTF">2023-07-20T14:18:00Z</dcterms:modified>
</cp:coreProperties>
</file>