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389" w:type="dxa"/>
        <w:tblInd w:w="-715" w:type="dxa"/>
        <w:tblCellMar>
          <w:top w:w="44" w:type="dxa"/>
          <w:left w:w="104" w:type="dxa"/>
          <w:bottom w:w="0" w:type="dxa"/>
          <w:right w:w="69" w:type="dxa"/>
        </w:tblCellMar>
        <w:tblLook w:val="04A0" w:firstRow="1" w:lastRow="0" w:firstColumn="1" w:lastColumn="0" w:noHBand="0" w:noVBand="1"/>
      </w:tblPr>
      <w:tblGrid>
        <w:gridCol w:w="2198"/>
        <w:gridCol w:w="2198"/>
        <w:gridCol w:w="2198"/>
        <w:gridCol w:w="2196"/>
        <w:gridCol w:w="2198"/>
        <w:gridCol w:w="2201"/>
        <w:gridCol w:w="2200"/>
      </w:tblGrid>
      <w:tr w:rsidR="00CC5A31" w:rsidTr="00945F3C">
        <w:trPr>
          <w:trHeight w:val="281"/>
        </w:trPr>
        <w:tc>
          <w:tcPr>
            <w:tcW w:w="2198" w:type="dxa"/>
            <w:tcBorders>
              <w:top w:val="single" w:sz="4" w:space="0" w:color="000000"/>
              <w:left w:val="single" w:sz="4" w:space="0" w:color="000000"/>
              <w:bottom w:val="single" w:sz="4" w:space="0" w:color="000000"/>
              <w:right w:val="nil"/>
            </w:tcBorders>
          </w:tcPr>
          <w:p w:rsidR="00CC5A31" w:rsidRDefault="00CC5A31" w:rsidP="00945F3C"/>
        </w:tc>
        <w:tc>
          <w:tcPr>
            <w:tcW w:w="13191" w:type="dxa"/>
            <w:gridSpan w:val="6"/>
            <w:tcBorders>
              <w:top w:val="single" w:sz="4" w:space="0" w:color="000000"/>
              <w:left w:val="nil"/>
              <w:bottom w:val="single" w:sz="4" w:space="0" w:color="000000"/>
              <w:right w:val="single" w:sz="4" w:space="0" w:color="000000"/>
            </w:tcBorders>
          </w:tcPr>
          <w:p w:rsidR="00CC5A31" w:rsidRDefault="00CC5A31" w:rsidP="00CC5A31">
            <w:pPr>
              <w:jc w:val="center"/>
            </w:pPr>
            <w:r>
              <w:rPr>
                <w:rFonts w:ascii="Century Gothic" w:eastAsia="Century Gothic" w:hAnsi="Century Gothic" w:cs="Century Gothic"/>
                <w:b/>
              </w:rPr>
              <w:t>Year 11 – PSHE</w:t>
            </w:r>
          </w:p>
        </w:tc>
      </w:tr>
      <w:tr w:rsidR="00CC5A31" w:rsidTr="00945F3C">
        <w:trPr>
          <w:trHeight w:val="1279"/>
        </w:trPr>
        <w:tc>
          <w:tcPr>
            <w:tcW w:w="2198" w:type="dxa"/>
            <w:tcBorders>
              <w:top w:val="single" w:sz="4" w:space="0" w:color="000000"/>
              <w:left w:val="single" w:sz="4" w:space="0" w:color="000000"/>
              <w:bottom w:val="single" w:sz="4" w:space="0" w:color="000000"/>
              <w:right w:val="single" w:sz="4" w:space="0" w:color="000000"/>
            </w:tcBorders>
          </w:tcPr>
          <w:p w:rsidR="00CC5A31" w:rsidRDefault="00CC5A31" w:rsidP="00945F3C">
            <w:pPr>
              <w:ind w:left="4"/>
            </w:pPr>
            <w:r>
              <w:rPr>
                <w:rFonts w:ascii="Century Gothic" w:eastAsia="Century Gothic" w:hAnsi="Century Gothic" w:cs="Century Gothic"/>
                <w:b/>
              </w:rPr>
              <w:t xml:space="preserve">Curriculum intent </w:t>
            </w:r>
          </w:p>
        </w:tc>
        <w:tc>
          <w:tcPr>
            <w:tcW w:w="13191" w:type="dxa"/>
            <w:gridSpan w:val="6"/>
            <w:tcBorders>
              <w:top w:val="single" w:sz="4" w:space="0" w:color="000000"/>
              <w:left w:val="single" w:sz="4" w:space="0" w:color="000000"/>
              <w:bottom w:val="single" w:sz="4" w:space="0" w:color="000000"/>
              <w:right w:val="single" w:sz="4" w:space="0" w:color="000000"/>
            </w:tcBorders>
            <w:vAlign w:val="bottom"/>
          </w:tcPr>
          <w:p w:rsidR="00CC5A31" w:rsidRDefault="00CC5A31" w:rsidP="00945F3C">
            <w:pPr>
              <w:spacing w:after="162" w:line="238" w:lineRule="auto"/>
              <w:ind w:left="4"/>
            </w:pPr>
            <w:r>
              <w:rPr>
                <w:rFonts w:ascii="Century Gothic" w:eastAsia="Century Gothic" w:hAnsi="Century Gothic" w:cs="Century Gothic"/>
                <w:sz w:val="16"/>
              </w:rPr>
              <w:t xml:space="preserve">The Year 11 PSHE curriculum has been designed to be delivered in a sequence that allows for connection making and has become more complex and age-specific through the progression of units throughout the academic year. All substantive knowledge to be delivered is taken directly from the RSHE statutory guidance document. Each one of the PSHE topics becomes a thread of knowledge building throughout this entire secondary curriculum. There are clear links across topics, which are highlighted on the Learning Journey for PSHE.  </w:t>
            </w:r>
          </w:p>
          <w:p w:rsidR="00CC5A31" w:rsidRDefault="00CC5A31" w:rsidP="00945F3C">
            <w:pPr>
              <w:ind w:left="4"/>
            </w:pPr>
            <w:r>
              <w:rPr>
                <w:rFonts w:ascii="Century Gothic" w:eastAsia="Century Gothic" w:hAnsi="Century Gothic" w:cs="Century Gothic"/>
                <w:sz w:val="20"/>
              </w:rPr>
              <w:t xml:space="preserve"> </w:t>
            </w:r>
          </w:p>
        </w:tc>
      </w:tr>
      <w:tr w:rsidR="00CC5A31" w:rsidTr="00945F3C">
        <w:trPr>
          <w:trHeight w:val="282"/>
        </w:trPr>
        <w:tc>
          <w:tcPr>
            <w:tcW w:w="2198" w:type="dxa"/>
            <w:tcBorders>
              <w:top w:val="single" w:sz="4" w:space="0" w:color="000000"/>
              <w:left w:val="single" w:sz="4" w:space="0" w:color="000000"/>
              <w:bottom w:val="single" w:sz="4" w:space="0" w:color="000000"/>
              <w:right w:val="single" w:sz="4" w:space="0" w:color="000000"/>
            </w:tcBorders>
          </w:tcPr>
          <w:p w:rsidR="00CC5A31" w:rsidRDefault="00CC5A31" w:rsidP="00945F3C">
            <w:pPr>
              <w:ind w:left="4"/>
            </w:pPr>
            <w:r>
              <w:rPr>
                <w:rFonts w:ascii="Century Gothic" w:eastAsia="Century Gothic" w:hAnsi="Century Gothic" w:cs="Century Gothic"/>
                <w:b/>
              </w:rPr>
              <w:t xml:space="preserve">Term </w:t>
            </w:r>
          </w:p>
        </w:tc>
        <w:tc>
          <w:tcPr>
            <w:tcW w:w="2198" w:type="dxa"/>
            <w:tcBorders>
              <w:top w:val="single" w:sz="4" w:space="0" w:color="000000"/>
              <w:left w:val="single" w:sz="4" w:space="0" w:color="000000"/>
              <w:bottom w:val="single" w:sz="4" w:space="0" w:color="000000"/>
              <w:right w:val="single" w:sz="4" w:space="0" w:color="000000"/>
            </w:tcBorders>
          </w:tcPr>
          <w:p w:rsidR="00CC5A31" w:rsidRDefault="00CC5A31" w:rsidP="00945F3C">
            <w:pPr>
              <w:ind w:left="4"/>
            </w:pPr>
            <w:r>
              <w:rPr>
                <w:rFonts w:ascii="Century Gothic" w:eastAsia="Century Gothic" w:hAnsi="Century Gothic" w:cs="Century Gothic"/>
                <w:b/>
              </w:rPr>
              <w:t xml:space="preserve">Autumn 1 </w:t>
            </w:r>
          </w:p>
        </w:tc>
        <w:tc>
          <w:tcPr>
            <w:tcW w:w="2198" w:type="dxa"/>
            <w:tcBorders>
              <w:top w:val="single" w:sz="4" w:space="0" w:color="000000"/>
              <w:left w:val="single" w:sz="4" w:space="0" w:color="000000"/>
              <w:bottom w:val="single" w:sz="4" w:space="0" w:color="000000"/>
              <w:right w:val="single" w:sz="4" w:space="0" w:color="000000"/>
            </w:tcBorders>
          </w:tcPr>
          <w:p w:rsidR="00CC5A31" w:rsidRDefault="00CC5A31" w:rsidP="00945F3C">
            <w:pPr>
              <w:ind w:left="4"/>
            </w:pPr>
            <w:r>
              <w:rPr>
                <w:rFonts w:ascii="Century Gothic" w:eastAsia="Century Gothic" w:hAnsi="Century Gothic" w:cs="Century Gothic"/>
                <w:b/>
              </w:rPr>
              <w:t xml:space="preserve">Autumn 2 </w:t>
            </w:r>
          </w:p>
        </w:tc>
        <w:tc>
          <w:tcPr>
            <w:tcW w:w="2196" w:type="dxa"/>
            <w:tcBorders>
              <w:top w:val="single" w:sz="4" w:space="0" w:color="000000"/>
              <w:left w:val="single" w:sz="4" w:space="0" w:color="000000"/>
              <w:bottom w:val="single" w:sz="4" w:space="0" w:color="000000"/>
              <w:right w:val="single" w:sz="4" w:space="0" w:color="000000"/>
            </w:tcBorders>
          </w:tcPr>
          <w:p w:rsidR="00CC5A31" w:rsidRDefault="00CC5A31" w:rsidP="00945F3C">
            <w:pPr>
              <w:ind w:left="4"/>
            </w:pPr>
            <w:r>
              <w:rPr>
                <w:rFonts w:ascii="Century Gothic" w:eastAsia="Century Gothic" w:hAnsi="Century Gothic" w:cs="Century Gothic"/>
                <w:b/>
              </w:rPr>
              <w:t xml:space="preserve">Spring 1 </w:t>
            </w:r>
          </w:p>
        </w:tc>
        <w:tc>
          <w:tcPr>
            <w:tcW w:w="2198" w:type="dxa"/>
            <w:tcBorders>
              <w:top w:val="single" w:sz="4" w:space="0" w:color="000000"/>
              <w:left w:val="single" w:sz="4" w:space="0" w:color="000000"/>
              <w:bottom w:val="single" w:sz="4" w:space="0" w:color="000000"/>
              <w:right w:val="single" w:sz="4" w:space="0" w:color="000000"/>
            </w:tcBorders>
          </w:tcPr>
          <w:p w:rsidR="00CC5A31" w:rsidRDefault="00CC5A31" w:rsidP="00945F3C">
            <w:pPr>
              <w:ind w:left="4"/>
            </w:pPr>
            <w:r>
              <w:rPr>
                <w:rFonts w:ascii="Century Gothic" w:eastAsia="Century Gothic" w:hAnsi="Century Gothic" w:cs="Century Gothic"/>
                <w:b/>
              </w:rPr>
              <w:t xml:space="preserve">Spring 2 </w:t>
            </w:r>
          </w:p>
        </w:tc>
        <w:tc>
          <w:tcPr>
            <w:tcW w:w="2201" w:type="dxa"/>
            <w:tcBorders>
              <w:top w:val="single" w:sz="4" w:space="0" w:color="000000"/>
              <w:left w:val="single" w:sz="4" w:space="0" w:color="000000"/>
              <w:bottom w:val="single" w:sz="4" w:space="0" w:color="000000"/>
              <w:right w:val="single" w:sz="4" w:space="0" w:color="000000"/>
            </w:tcBorders>
          </w:tcPr>
          <w:p w:rsidR="00CC5A31" w:rsidRDefault="00CC5A31" w:rsidP="00945F3C">
            <w:pPr>
              <w:ind w:left="4"/>
            </w:pPr>
            <w:r>
              <w:rPr>
                <w:rFonts w:ascii="Century Gothic" w:eastAsia="Century Gothic" w:hAnsi="Century Gothic" w:cs="Century Gothic"/>
                <w:b/>
              </w:rPr>
              <w:t xml:space="preserve">Summer 1 </w:t>
            </w:r>
          </w:p>
        </w:tc>
        <w:tc>
          <w:tcPr>
            <w:tcW w:w="2200" w:type="dxa"/>
            <w:tcBorders>
              <w:top w:val="single" w:sz="4" w:space="0" w:color="000000"/>
              <w:left w:val="single" w:sz="4" w:space="0" w:color="000000"/>
              <w:bottom w:val="single" w:sz="4" w:space="0" w:color="000000"/>
              <w:right w:val="single" w:sz="4" w:space="0" w:color="000000"/>
            </w:tcBorders>
          </w:tcPr>
          <w:p w:rsidR="00CC5A31" w:rsidRDefault="00CC5A31" w:rsidP="00945F3C">
            <w:r>
              <w:rPr>
                <w:rFonts w:ascii="Century Gothic" w:eastAsia="Century Gothic" w:hAnsi="Century Gothic" w:cs="Century Gothic"/>
                <w:b/>
              </w:rPr>
              <w:t xml:space="preserve">Summer 2 </w:t>
            </w:r>
          </w:p>
        </w:tc>
      </w:tr>
      <w:tr w:rsidR="00CC5A31" w:rsidTr="00945F3C">
        <w:trPr>
          <w:trHeight w:val="2803"/>
        </w:trPr>
        <w:tc>
          <w:tcPr>
            <w:tcW w:w="2198" w:type="dxa"/>
            <w:tcBorders>
              <w:top w:val="single" w:sz="4" w:space="0" w:color="000000"/>
              <w:left w:val="single" w:sz="4" w:space="0" w:color="000000"/>
              <w:bottom w:val="single" w:sz="4" w:space="0" w:color="000000"/>
              <w:right w:val="single" w:sz="4" w:space="0" w:color="000000"/>
            </w:tcBorders>
          </w:tcPr>
          <w:p w:rsidR="00CC5A31" w:rsidRDefault="00CC5A31" w:rsidP="00945F3C">
            <w:pPr>
              <w:ind w:left="4"/>
            </w:pPr>
            <w:r>
              <w:rPr>
                <w:rFonts w:ascii="Century Gothic" w:eastAsia="Century Gothic" w:hAnsi="Century Gothic" w:cs="Century Gothic"/>
                <w:b/>
              </w:rPr>
              <w:t xml:space="preserve">Knowledge </w:t>
            </w:r>
          </w:p>
        </w:tc>
        <w:tc>
          <w:tcPr>
            <w:tcW w:w="2198" w:type="dxa"/>
            <w:tcBorders>
              <w:top w:val="single" w:sz="4" w:space="0" w:color="000000"/>
              <w:left w:val="single" w:sz="4" w:space="0" w:color="000000"/>
              <w:bottom w:val="single" w:sz="4" w:space="0" w:color="000000"/>
              <w:right w:val="single" w:sz="4" w:space="0" w:color="000000"/>
            </w:tcBorders>
          </w:tcPr>
          <w:p w:rsidR="00CC5A31" w:rsidRDefault="00CC5A31" w:rsidP="00945F3C">
            <w:pPr>
              <w:ind w:left="4"/>
            </w:pPr>
            <w:r>
              <w:rPr>
                <w:rFonts w:ascii="Century Gothic" w:eastAsia="Century Gothic" w:hAnsi="Century Gothic" w:cs="Century Gothic"/>
                <w:b/>
                <w:sz w:val="16"/>
              </w:rPr>
              <w:t xml:space="preserve">Being Safe: Honour </w:t>
            </w:r>
          </w:p>
          <w:p w:rsidR="00CC5A31" w:rsidRDefault="00CC5A31" w:rsidP="00945F3C">
            <w:pPr>
              <w:ind w:left="4"/>
            </w:pPr>
            <w:r>
              <w:rPr>
                <w:rFonts w:ascii="Century Gothic" w:eastAsia="Century Gothic" w:hAnsi="Century Gothic" w:cs="Century Gothic"/>
                <w:b/>
                <w:sz w:val="16"/>
              </w:rPr>
              <w:t xml:space="preserve">Based Violence &amp; FGM. </w:t>
            </w:r>
          </w:p>
          <w:p w:rsidR="00CC5A31" w:rsidRDefault="00CC5A31" w:rsidP="00CC5A31">
            <w:pPr>
              <w:numPr>
                <w:ilvl w:val="0"/>
                <w:numId w:val="1"/>
              </w:numPr>
              <w:spacing w:line="259" w:lineRule="auto"/>
              <w:ind w:hanging="142"/>
            </w:pPr>
            <w:r>
              <w:rPr>
                <w:rFonts w:ascii="Century Gothic" w:eastAsia="Century Gothic" w:hAnsi="Century Gothic" w:cs="Century Gothic"/>
                <w:sz w:val="14"/>
              </w:rPr>
              <w:t xml:space="preserve">What is forced marriage? </w:t>
            </w:r>
          </w:p>
          <w:p w:rsidR="00CC5A31" w:rsidRDefault="00CC5A31" w:rsidP="00CC5A31">
            <w:pPr>
              <w:numPr>
                <w:ilvl w:val="0"/>
                <w:numId w:val="1"/>
              </w:numPr>
              <w:spacing w:line="242" w:lineRule="auto"/>
              <w:ind w:hanging="142"/>
            </w:pPr>
            <w:r>
              <w:rPr>
                <w:rFonts w:ascii="Century Gothic" w:eastAsia="Century Gothic" w:hAnsi="Century Gothic" w:cs="Century Gothic"/>
                <w:sz w:val="14"/>
              </w:rPr>
              <w:t xml:space="preserve">What is honour based violence? </w:t>
            </w:r>
          </w:p>
          <w:p w:rsidR="00CC5A31" w:rsidRDefault="00CC5A31" w:rsidP="00CC5A31">
            <w:pPr>
              <w:numPr>
                <w:ilvl w:val="0"/>
                <w:numId w:val="1"/>
              </w:numPr>
              <w:spacing w:line="242" w:lineRule="auto"/>
              <w:ind w:hanging="142"/>
            </w:pPr>
            <w:r>
              <w:rPr>
                <w:rFonts w:ascii="Century Gothic" w:eastAsia="Century Gothic" w:hAnsi="Century Gothic" w:cs="Century Gothic"/>
                <w:sz w:val="14"/>
              </w:rPr>
              <w:t xml:space="preserve">What is FGM (Female Genital Mutilation)? </w:t>
            </w:r>
          </w:p>
          <w:p w:rsidR="00CC5A31" w:rsidRDefault="00CC5A31" w:rsidP="00CC5A31">
            <w:pPr>
              <w:numPr>
                <w:ilvl w:val="0"/>
                <w:numId w:val="1"/>
              </w:numPr>
              <w:spacing w:line="236" w:lineRule="auto"/>
              <w:ind w:hanging="142"/>
            </w:pPr>
            <w:r>
              <w:rPr>
                <w:rFonts w:ascii="Century Gothic" w:eastAsia="Century Gothic" w:hAnsi="Century Gothic" w:cs="Century Gothic"/>
                <w:sz w:val="14"/>
              </w:rPr>
              <w:t xml:space="preserve">FGM – support. </w:t>
            </w:r>
            <w:r>
              <w:rPr>
                <w:rFonts w:ascii="Century Gothic" w:eastAsia="Century Gothic" w:hAnsi="Century Gothic" w:cs="Century Gothic"/>
                <w:b/>
                <w:sz w:val="16"/>
              </w:rPr>
              <w:t xml:space="preserve">Internet Safety and Harms: Gambling. </w:t>
            </w:r>
          </w:p>
          <w:p w:rsidR="00CC5A31" w:rsidRDefault="00CC5A31" w:rsidP="00CC5A31">
            <w:pPr>
              <w:numPr>
                <w:ilvl w:val="0"/>
                <w:numId w:val="1"/>
              </w:numPr>
              <w:spacing w:line="259" w:lineRule="auto"/>
              <w:ind w:hanging="142"/>
            </w:pPr>
            <w:r>
              <w:rPr>
                <w:rFonts w:ascii="Century Gothic" w:eastAsia="Century Gothic" w:hAnsi="Century Gothic" w:cs="Century Gothic"/>
                <w:sz w:val="14"/>
              </w:rPr>
              <w:t xml:space="preserve">Understanding gambling. </w:t>
            </w:r>
          </w:p>
          <w:p w:rsidR="00CC5A31" w:rsidRDefault="00CC5A31" w:rsidP="00CC5A31">
            <w:pPr>
              <w:numPr>
                <w:ilvl w:val="0"/>
                <w:numId w:val="1"/>
              </w:numPr>
              <w:spacing w:after="3" w:line="239" w:lineRule="auto"/>
              <w:ind w:hanging="142"/>
            </w:pPr>
            <w:r>
              <w:rPr>
                <w:rFonts w:ascii="Century Gothic" w:eastAsia="Century Gothic" w:hAnsi="Century Gothic" w:cs="Century Gothic"/>
                <w:sz w:val="14"/>
              </w:rPr>
              <w:t xml:space="preserve">Resilience towards gambling. </w:t>
            </w:r>
          </w:p>
          <w:p w:rsidR="00CC5A31" w:rsidRDefault="00CC5A31" w:rsidP="00CC5A31">
            <w:pPr>
              <w:numPr>
                <w:ilvl w:val="0"/>
                <w:numId w:val="1"/>
              </w:numPr>
              <w:spacing w:line="259" w:lineRule="auto"/>
              <w:ind w:hanging="142"/>
            </w:pPr>
            <w:r>
              <w:rPr>
                <w:rFonts w:ascii="Century Gothic" w:eastAsia="Century Gothic" w:hAnsi="Century Gothic" w:cs="Century Gothic"/>
                <w:sz w:val="14"/>
              </w:rPr>
              <w:t xml:space="preserve">Recognising problem gambling. </w:t>
            </w:r>
          </w:p>
        </w:tc>
        <w:tc>
          <w:tcPr>
            <w:tcW w:w="2198" w:type="dxa"/>
            <w:tcBorders>
              <w:top w:val="single" w:sz="4" w:space="0" w:color="000000"/>
              <w:left w:val="single" w:sz="4" w:space="0" w:color="000000"/>
              <w:bottom w:val="single" w:sz="4" w:space="0" w:color="000000"/>
              <w:right w:val="single" w:sz="4" w:space="0" w:color="000000"/>
            </w:tcBorders>
          </w:tcPr>
          <w:p w:rsidR="00CC5A31" w:rsidRDefault="00CC5A31" w:rsidP="00945F3C">
            <w:pPr>
              <w:ind w:left="4"/>
            </w:pPr>
            <w:r>
              <w:rPr>
                <w:rFonts w:ascii="Century Gothic" w:eastAsia="Century Gothic" w:hAnsi="Century Gothic" w:cs="Century Gothic"/>
                <w:b/>
                <w:sz w:val="16"/>
              </w:rPr>
              <w:t xml:space="preserve">CEIAG: </w:t>
            </w:r>
          </w:p>
          <w:p w:rsidR="00CC5A31" w:rsidRDefault="00CC5A31" w:rsidP="00CC5A31">
            <w:pPr>
              <w:numPr>
                <w:ilvl w:val="0"/>
                <w:numId w:val="5"/>
              </w:numPr>
              <w:spacing w:line="259" w:lineRule="auto"/>
              <w:ind w:hanging="142"/>
            </w:pPr>
            <w:r>
              <w:rPr>
                <w:rFonts w:ascii="Century Gothic" w:eastAsia="Century Gothic" w:hAnsi="Century Gothic" w:cs="Century Gothic"/>
                <w:sz w:val="14"/>
              </w:rPr>
              <w:t xml:space="preserve">Post 16 preparation </w:t>
            </w:r>
          </w:p>
          <w:p w:rsidR="00CC5A31" w:rsidRDefault="00CC5A31" w:rsidP="00CC5A31">
            <w:pPr>
              <w:numPr>
                <w:ilvl w:val="0"/>
                <w:numId w:val="5"/>
              </w:numPr>
              <w:spacing w:line="242" w:lineRule="auto"/>
              <w:ind w:hanging="142"/>
            </w:pPr>
            <w:r>
              <w:rPr>
                <w:rFonts w:ascii="Century Gothic" w:eastAsia="Century Gothic" w:hAnsi="Century Gothic" w:cs="Century Gothic"/>
                <w:sz w:val="14"/>
              </w:rPr>
              <w:t xml:space="preserve">Further advice from LA Careers advisor. </w:t>
            </w:r>
          </w:p>
          <w:p w:rsidR="00CC5A31" w:rsidRDefault="00CC5A31" w:rsidP="00945F3C">
            <w:pPr>
              <w:spacing w:line="236" w:lineRule="auto"/>
              <w:ind w:left="4"/>
              <w:rPr>
                <w:rFonts w:ascii="Century Gothic" w:eastAsia="Century Gothic" w:hAnsi="Century Gothic" w:cs="Century Gothic"/>
                <w:b/>
                <w:sz w:val="16"/>
              </w:rPr>
            </w:pPr>
            <w:r>
              <w:rPr>
                <w:rFonts w:ascii="Century Gothic" w:eastAsia="Century Gothic" w:hAnsi="Century Gothic" w:cs="Century Gothic"/>
                <w:sz w:val="14"/>
              </w:rPr>
              <w:t>(Ongoing all year)</w:t>
            </w:r>
          </w:p>
          <w:p w:rsidR="00CC5A31" w:rsidRDefault="00CC5A31" w:rsidP="00945F3C">
            <w:pPr>
              <w:spacing w:line="236" w:lineRule="auto"/>
              <w:ind w:left="4"/>
              <w:rPr>
                <w:rFonts w:ascii="Century Gothic" w:eastAsia="Century Gothic" w:hAnsi="Century Gothic" w:cs="Century Gothic"/>
                <w:b/>
                <w:sz w:val="16"/>
              </w:rPr>
            </w:pPr>
          </w:p>
          <w:p w:rsidR="00CC5A31" w:rsidRDefault="00CC5A31" w:rsidP="00945F3C">
            <w:pPr>
              <w:spacing w:line="236" w:lineRule="auto"/>
              <w:ind w:left="4"/>
            </w:pPr>
            <w:r>
              <w:rPr>
                <w:rFonts w:ascii="Century Gothic" w:eastAsia="Century Gothic" w:hAnsi="Century Gothic" w:cs="Century Gothic"/>
                <w:b/>
                <w:sz w:val="16"/>
              </w:rPr>
              <w:t xml:space="preserve">Internet Safety and Harms: Gambling. </w:t>
            </w:r>
          </w:p>
          <w:p w:rsidR="00CC5A31" w:rsidRDefault="00CC5A31" w:rsidP="00CC5A31">
            <w:pPr>
              <w:numPr>
                <w:ilvl w:val="0"/>
                <w:numId w:val="2"/>
              </w:numPr>
              <w:spacing w:line="259" w:lineRule="auto"/>
              <w:ind w:hanging="142"/>
            </w:pPr>
            <w:r>
              <w:rPr>
                <w:rFonts w:ascii="Century Gothic" w:eastAsia="Century Gothic" w:hAnsi="Century Gothic" w:cs="Century Gothic"/>
                <w:sz w:val="14"/>
              </w:rPr>
              <w:t xml:space="preserve">Targeted advertising. </w:t>
            </w:r>
          </w:p>
          <w:p w:rsidR="00CC5A31" w:rsidRDefault="00CC5A31" w:rsidP="00CC5A31">
            <w:pPr>
              <w:numPr>
                <w:ilvl w:val="0"/>
                <w:numId w:val="2"/>
              </w:numPr>
              <w:spacing w:line="259" w:lineRule="auto"/>
              <w:ind w:hanging="142"/>
            </w:pPr>
            <w:r>
              <w:rPr>
                <w:rFonts w:ascii="Century Gothic" w:eastAsia="Century Gothic" w:hAnsi="Century Gothic" w:cs="Century Gothic"/>
                <w:sz w:val="14"/>
              </w:rPr>
              <w:t xml:space="preserve">Influencer endorsements. </w:t>
            </w:r>
          </w:p>
          <w:p w:rsidR="00CC5A31" w:rsidRDefault="00CC5A31" w:rsidP="00CC5A31">
            <w:pPr>
              <w:numPr>
                <w:ilvl w:val="0"/>
                <w:numId w:val="2"/>
              </w:numPr>
              <w:spacing w:after="22" w:line="239" w:lineRule="auto"/>
              <w:ind w:hanging="142"/>
            </w:pPr>
            <w:r>
              <w:rPr>
                <w:rFonts w:ascii="Century Gothic" w:eastAsia="Century Gothic" w:hAnsi="Century Gothic" w:cs="Century Gothic"/>
                <w:sz w:val="14"/>
              </w:rPr>
              <w:t xml:space="preserve">Risks of online financial lending. </w:t>
            </w:r>
          </w:p>
          <w:p w:rsidR="00CC5A31" w:rsidRDefault="00CC5A31" w:rsidP="00945F3C">
            <w:pPr>
              <w:spacing w:line="239" w:lineRule="auto"/>
              <w:ind w:left="4"/>
            </w:pPr>
            <w:r>
              <w:rPr>
                <w:rFonts w:ascii="Century Gothic" w:eastAsia="Century Gothic" w:hAnsi="Century Gothic" w:cs="Century Gothic"/>
                <w:b/>
                <w:sz w:val="16"/>
              </w:rPr>
              <w:t>Health and Prevention: Self-care and Self</w:t>
            </w:r>
            <w:r>
              <w:rPr>
                <w:rFonts w:ascii="Century Gothic" w:eastAsia="Century Gothic" w:hAnsi="Century Gothic" w:cs="Century Gothic"/>
                <w:b/>
                <w:sz w:val="16"/>
              </w:rPr>
              <w:t>-</w:t>
            </w:r>
            <w:bookmarkStart w:id="0" w:name="_GoBack"/>
            <w:bookmarkEnd w:id="0"/>
            <w:r>
              <w:rPr>
                <w:rFonts w:ascii="Century Gothic" w:eastAsia="Century Gothic" w:hAnsi="Century Gothic" w:cs="Century Gothic"/>
                <w:b/>
                <w:sz w:val="16"/>
              </w:rPr>
              <w:t xml:space="preserve">awareness. </w:t>
            </w:r>
          </w:p>
          <w:p w:rsidR="00CC5A31" w:rsidRDefault="00CC5A31" w:rsidP="00CC5A31">
            <w:pPr>
              <w:numPr>
                <w:ilvl w:val="0"/>
                <w:numId w:val="2"/>
              </w:numPr>
              <w:spacing w:line="259" w:lineRule="auto"/>
              <w:ind w:hanging="142"/>
            </w:pPr>
            <w:r>
              <w:rPr>
                <w:rFonts w:ascii="Century Gothic" w:eastAsia="Century Gothic" w:hAnsi="Century Gothic" w:cs="Century Gothic"/>
                <w:sz w:val="14"/>
              </w:rPr>
              <w:t xml:space="preserve">What is self-examination? </w:t>
            </w:r>
          </w:p>
          <w:p w:rsidR="00CC5A31" w:rsidRDefault="00CC5A31" w:rsidP="00CC5A31">
            <w:pPr>
              <w:numPr>
                <w:ilvl w:val="0"/>
                <w:numId w:val="2"/>
              </w:numPr>
              <w:spacing w:after="3" w:line="239" w:lineRule="auto"/>
              <w:ind w:hanging="142"/>
            </w:pPr>
            <w:r>
              <w:rPr>
                <w:rFonts w:ascii="Century Gothic" w:eastAsia="Century Gothic" w:hAnsi="Century Gothic" w:cs="Century Gothic"/>
                <w:sz w:val="14"/>
              </w:rPr>
              <w:t xml:space="preserve">Self-examination focus on testicles/breasts/skin. </w:t>
            </w:r>
          </w:p>
          <w:p w:rsidR="00CC5A31" w:rsidRDefault="00CC5A31" w:rsidP="00CC5A31">
            <w:pPr>
              <w:numPr>
                <w:ilvl w:val="0"/>
                <w:numId w:val="2"/>
              </w:numPr>
              <w:spacing w:line="259" w:lineRule="auto"/>
              <w:ind w:hanging="142"/>
            </w:pPr>
            <w:r>
              <w:rPr>
                <w:rFonts w:ascii="Century Gothic" w:eastAsia="Century Gothic" w:hAnsi="Century Gothic" w:cs="Century Gothic"/>
                <w:sz w:val="14"/>
              </w:rPr>
              <w:t xml:space="preserve">Screening. </w:t>
            </w:r>
          </w:p>
          <w:p w:rsidR="00CC5A31" w:rsidRDefault="00CC5A31" w:rsidP="00CC5A31">
            <w:pPr>
              <w:numPr>
                <w:ilvl w:val="0"/>
                <w:numId w:val="2"/>
              </w:numPr>
              <w:spacing w:after="52" w:line="259" w:lineRule="auto"/>
              <w:ind w:hanging="142"/>
            </w:pPr>
            <w:r>
              <w:rPr>
                <w:rFonts w:ascii="Century Gothic" w:eastAsia="Century Gothic" w:hAnsi="Century Gothic" w:cs="Century Gothic"/>
                <w:sz w:val="14"/>
              </w:rPr>
              <w:t xml:space="preserve">Smear tests. </w:t>
            </w:r>
          </w:p>
          <w:p w:rsidR="00CC5A31" w:rsidRDefault="00CC5A31" w:rsidP="00945F3C">
            <w:pPr>
              <w:ind w:left="4"/>
            </w:pPr>
            <w:r>
              <w:rPr>
                <w:rFonts w:ascii="Century Gothic" w:eastAsia="Century Gothic" w:hAnsi="Century Gothic" w:cs="Century Gothic"/>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CC5A31" w:rsidRDefault="00CC5A31" w:rsidP="00945F3C">
            <w:pPr>
              <w:ind w:left="4"/>
            </w:pPr>
            <w:r>
              <w:rPr>
                <w:rFonts w:ascii="Century Gothic" w:eastAsia="Century Gothic" w:hAnsi="Century Gothic" w:cs="Century Gothic"/>
                <w:b/>
                <w:sz w:val="16"/>
              </w:rPr>
              <w:t xml:space="preserve">Intimate Relationships: </w:t>
            </w:r>
          </w:p>
          <w:p w:rsidR="00CC5A31" w:rsidRDefault="00CC5A31" w:rsidP="00945F3C">
            <w:pPr>
              <w:ind w:left="4"/>
            </w:pPr>
            <w:r>
              <w:rPr>
                <w:rFonts w:ascii="Century Gothic" w:eastAsia="Century Gothic" w:hAnsi="Century Gothic" w:cs="Century Gothic"/>
                <w:b/>
                <w:sz w:val="16"/>
              </w:rPr>
              <w:t xml:space="preserve">Fertility. </w:t>
            </w:r>
          </w:p>
          <w:p w:rsidR="00CC5A31" w:rsidRDefault="00CC5A31" w:rsidP="00CC5A31">
            <w:pPr>
              <w:numPr>
                <w:ilvl w:val="0"/>
                <w:numId w:val="3"/>
              </w:numPr>
              <w:spacing w:after="3" w:line="239" w:lineRule="auto"/>
              <w:ind w:left="247" w:hanging="142"/>
            </w:pPr>
            <w:r>
              <w:rPr>
                <w:rFonts w:ascii="Century Gothic" w:eastAsia="Century Gothic" w:hAnsi="Century Gothic" w:cs="Century Gothic"/>
                <w:sz w:val="14"/>
              </w:rPr>
              <w:t xml:space="preserve">The process of fertilisation and conception. </w:t>
            </w:r>
          </w:p>
          <w:p w:rsidR="00CC5A31" w:rsidRDefault="00CC5A31" w:rsidP="00CC5A31">
            <w:pPr>
              <w:numPr>
                <w:ilvl w:val="0"/>
                <w:numId w:val="3"/>
              </w:numPr>
              <w:spacing w:line="259" w:lineRule="auto"/>
              <w:ind w:left="247" w:hanging="142"/>
            </w:pPr>
            <w:r>
              <w:rPr>
                <w:rFonts w:ascii="Century Gothic" w:eastAsia="Century Gothic" w:hAnsi="Century Gothic" w:cs="Century Gothic"/>
                <w:sz w:val="14"/>
              </w:rPr>
              <w:t xml:space="preserve">The process of IVF. </w:t>
            </w:r>
          </w:p>
          <w:p w:rsidR="00CC5A31" w:rsidRDefault="00CC5A31" w:rsidP="00CC5A31">
            <w:pPr>
              <w:numPr>
                <w:ilvl w:val="0"/>
                <w:numId w:val="3"/>
              </w:numPr>
              <w:spacing w:line="259" w:lineRule="auto"/>
              <w:ind w:left="247" w:hanging="142"/>
            </w:pPr>
            <w:r>
              <w:rPr>
                <w:rFonts w:ascii="Century Gothic" w:eastAsia="Century Gothic" w:hAnsi="Century Gothic" w:cs="Century Gothic"/>
                <w:sz w:val="14"/>
              </w:rPr>
              <w:t xml:space="preserve">The physical and emotional consequences of infertility. </w:t>
            </w:r>
          </w:p>
        </w:tc>
        <w:tc>
          <w:tcPr>
            <w:tcW w:w="2198" w:type="dxa"/>
            <w:tcBorders>
              <w:top w:val="single" w:sz="4" w:space="0" w:color="000000"/>
              <w:left w:val="single" w:sz="4" w:space="0" w:color="000000"/>
              <w:bottom w:val="single" w:sz="4" w:space="0" w:color="000000"/>
              <w:right w:val="single" w:sz="4" w:space="0" w:color="000000"/>
            </w:tcBorders>
          </w:tcPr>
          <w:p w:rsidR="00CC5A31" w:rsidRDefault="00CC5A31" w:rsidP="00945F3C">
            <w:pPr>
              <w:ind w:left="4"/>
            </w:pPr>
            <w:r>
              <w:rPr>
                <w:rFonts w:ascii="Century Gothic" w:eastAsia="Century Gothic" w:hAnsi="Century Gothic" w:cs="Century Gothic"/>
                <w:b/>
                <w:sz w:val="16"/>
              </w:rPr>
              <w:t xml:space="preserve">Recap: </w:t>
            </w:r>
          </w:p>
          <w:p w:rsidR="00CC5A31" w:rsidRDefault="00CC5A31" w:rsidP="00CC5A31">
            <w:pPr>
              <w:numPr>
                <w:ilvl w:val="0"/>
                <w:numId w:val="4"/>
              </w:numPr>
              <w:spacing w:line="242" w:lineRule="auto"/>
              <w:ind w:hanging="142"/>
            </w:pPr>
            <w:r>
              <w:rPr>
                <w:rFonts w:ascii="Century Gothic" w:eastAsia="Century Gothic" w:hAnsi="Century Gothic" w:cs="Century Gothic"/>
                <w:sz w:val="14"/>
              </w:rPr>
              <w:t xml:space="preserve">Dangers of drugs and alcohol. </w:t>
            </w:r>
          </w:p>
          <w:p w:rsidR="00CC5A31" w:rsidRDefault="00CC5A31" w:rsidP="00CC5A31">
            <w:pPr>
              <w:numPr>
                <w:ilvl w:val="0"/>
                <w:numId w:val="4"/>
              </w:numPr>
              <w:spacing w:line="259" w:lineRule="auto"/>
              <w:ind w:hanging="142"/>
            </w:pPr>
            <w:r>
              <w:rPr>
                <w:rFonts w:ascii="Century Gothic" w:eastAsia="Century Gothic" w:hAnsi="Century Gothic" w:cs="Century Gothic"/>
                <w:sz w:val="14"/>
              </w:rPr>
              <w:t xml:space="preserve">Healthy relationships. </w:t>
            </w:r>
          </w:p>
          <w:p w:rsidR="00CC5A31" w:rsidRDefault="00CC5A31" w:rsidP="00945F3C">
            <w:pPr>
              <w:spacing w:line="239" w:lineRule="auto"/>
              <w:ind w:left="4"/>
            </w:pPr>
            <w:r>
              <w:rPr>
                <w:rFonts w:ascii="Century Gothic" w:eastAsia="Century Gothic" w:hAnsi="Century Gothic" w:cs="Century Gothic"/>
                <w:b/>
                <w:sz w:val="16"/>
              </w:rPr>
              <w:t xml:space="preserve">Religious and World Beliefs: </w:t>
            </w:r>
          </w:p>
          <w:p w:rsidR="00CC5A31" w:rsidRDefault="00CC5A31" w:rsidP="00CC5A31">
            <w:pPr>
              <w:numPr>
                <w:ilvl w:val="0"/>
                <w:numId w:val="4"/>
              </w:numPr>
              <w:spacing w:line="259" w:lineRule="auto"/>
              <w:ind w:hanging="142"/>
            </w:pPr>
            <w:r>
              <w:rPr>
                <w:rFonts w:ascii="Century Gothic" w:eastAsia="Century Gothic" w:hAnsi="Century Gothic" w:cs="Century Gothic"/>
                <w:sz w:val="14"/>
              </w:rPr>
              <w:t xml:space="preserve">Core religious beliefs and practices. </w:t>
            </w:r>
          </w:p>
        </w:tc>
        <w:tc>
          <w:tcPr>
            <w:tcW w:w="2201" w:type="dxa"/>
            <w:tcBorders>
              <w:top w:val="single" w:sz="4" w:space="0" w:color="000000"/>
              <w:left w:val="single" w:sz="4" w:space="0" w:color="000000"/>
              <w:bottom w:val="single" w:sz="4" w:space="0" w:color="000000"/>
              <w:right w:val="single" w:sz="4" w:space="0" w:color="000000"/>
            </w:tcBorders>
          </w:tcPr>
          <w:p w:rsidR="00CC5A31" w:rsidRDefault="00CC5A31" w:rsidP="00945F3C">
            <w:pPr>
              <w:spacing w:line="236" w:lineRule="auto"/>
              <w:ind w:left="4"/>
            </w:pPr>
            <w:r>
              <w:rPr>
                <w:rFonts w:ascii="Century Gothic" w:eastAsia="Century Gothic" w:hAnsi="Century Gothic" w:cs="Century Gothic"/>
                <w:b/>
                <w:sz w:val="16"/>
              </w:rPr>
              <w:t xml:space="preserve">Religious and World Beliefs: </w:t>
            </w:r>
          </w:p>
          <w:p w:rsidR="00CC5A31" w:rsidRDefault="00CC5A31" w:rsidP="00CC5A31">
            <w:pPr>
              <w:numPr>
                <w:ilvl w:val="0"/>
                <w:numId w:val="5"/>
              </w:numPr>
              <w:spacing w:line="259" w:lineRule="auto"/>
              <w:ind w:hanging="142"/>
            </w:pPr>
            <w:r>
              <w:rPr>
                <w:rFonts w:ascii="Century Gothic" w:eastAsia="Century Gothic" w:hAnsi="Century Gothic" w:cs="Century Gothic"/>
                <w:sz w:val="14"/>
              </w:rPr>
              <w:t xml:space="preserve">Living religions. </w:t>
            </w:r>
          </w:p>
          <w:p w:rsidR="00CC5A31" w:rsidRDefault="00CC5A31" w:rsidP="00CC5A31">
            <w:pPr>
              <w:numPr>
                <w:ilvl w:val="0"/>
                <w:numId w:val="5"/>
              </w:numPr>
              <w:spacing w:line="259" w:lineRule="auto"/>
              <w:ind w:hanging="142"/>
            </w:pPr>
            <w:r>
              <w:rPr>
                <w:rFonts w:ascii="Century Gothic" w:eastAsia="Century Gothic" w:hAnsi="Century Gothic" w:cs="Century Gothic"/>
                <w:sz w:val="14"/>
              </w:rPr>
              <w:t xml:space="preserve">Religions in the news. </w:t>
            </w:r>
          </w:p>
          <w:p w:rsidR="00CC5A31" w:rsidRDefault="00CC5A31" w:rsidP="00945F3C">
            <w:pPr>
              <w:spacing w:line="233" w:lineRule="auto"/>
              <w:ind w:left="4" w:firstLine="243"/>
              <w:rPr>
                <w:rFonts w:ascii="Century Gothic" w:eastAsia="Century Gothic" w:hAnsi="Century Gothic" w:cs="Century Gothic"/>
                <w:b/>
                <w:sz w:val="16"/>
              </w:rPr>
            </w:pPr>
          </w:p>
          <w:p w:rsidR="00CC5A31" w:rsidRDefault="00CC5A31" w:rsidP="00945F3C">
            <w:pPr>
              <w:spacing w:line="233" w:lineRule="auto"/>
            </w:pPr>
            <w:r>
              <w:rPr>
                <w:rFonts w:ascii="Century Gothic" w:eastAsia="Century Gothic" w:hAnsi="Century Gothic" w:cs="Century Gothic"/>
                <w:b/>
                <w:sz w:val="16"/>
              </w:rPr>
              <w:t xml:space="preserve">Revision: </w:t>
            </w:r>
          </w:p>
          <w:p w:rsidR="00CC5A31" w:rsidRDefault="00CC5A31" w:rsidP="00CC5A31">
            <w:pPr>
              <w:numPr>
                <w:ilvl w:val="0"/>
                <w:numId w:val="5"/>
              </w:numPr>
              <w:spacing w:after="19" w:line="242" w:lineRule="auto"/>
              <w:ind w:hanging="142"/>
            </w:pPr>
            <w:r>
              <w:rPr>
                <w:rFonts w:ascii="Century Gothic" w:eastAsia="Century Gothic" w:hAnsi="Century Gothic" w:cs="Century Gothic"/>
                <w:sz w:val="14"/>
              </w:rPr>
              <w:t xml:space="preserve">Opportunity to implement VESPA skills. </w:t>
            </w:r>
          </w:p>
          <w:p w:rsidR="00CC5A31" w:rsidRDefault="00CC5A31" w:rsidP="00945F3C">
            <w:pPr>
              <w:ind w:left="4"/>
            </w:pPr>
            <w:r>
              <w:rPr>
                <w:rFonts w:ascii="Century Gothic" w:eastAsia="Century Gothic" w:hAnsi="Century Gothic" w:cs="Century Gothic"/>
                <w:b/>
                <w:sz w:val="16"/>
              </w:rPr>
              <w:t xml:space="preserve">Responsive Curriculum: </w:t>
            </w:r>
          </w:p>
          <w:p w:rsidR="00CC5A31" w:rsidRDefault="00CC5A31" w:rsidP="00CC5A31">
            <w:pPr>
              <w:numPr>
                <w:ilvl w:val="0"/>
                <w:numId w:val="5"/>
              </w:numPr>
              <w:spacing w:line="259" w:lineRule="auto"/>
              <w:ind w:hanging="142"/>
            </w:pPr>
            <w:r>
              <w:rPr>
                <w:rFonts w:ascii="Century Gothic" w:eastAsia="Century Gothic" w:hAnsi="Century Gothic" w:cs="Century Gothic"/>
                <w:sz w:val="14"/>
              </w:rPr>
              <w:t xml:space="preserve">Catch up areas. </w:t>
            </w:r>
          </w:p>
        </w:tc>
        <w:tc>
          <w:tcPr>
            <w:tcW w:w="2200" w:type="dxa"/>
            <w:tcBorders>
              <w:top w:val="single" w:sz="4" w:space="0" w:color="000000"/>
              <w:left w:val="single" w:sz="4" w:space="0" w:color="000000"/>
              <w:bottom w:val="single" w:sz="4" w:space="0" w:color="000000"/>
              <w:right w:val="single" w:sz="4" w:space="0" w:color="000000"/>
            </w:tcBorders>
            <w:shd w:val="clear" w:color="auto" w:fill="D9D9D9"/>
          </w:tcPr>
          <w:p w:rsidR="00CC5A31" w:rsidRDefault="00CC5A31" w:rsidP="00945F3C">
            <w:r>
              <w:rPr>
                <w:rFonts w:ascii="Century Gothic" w:eastAsia="Century Gothic" w:hAnsi="Century Gothic" w:cs="Century Gothic"/>
              </w:rPr>
              <w:t xml:space="preserve"> </w:t>
            </w:r>
          </w:p>
        </w:tc>
      </w:tr>
      <w:tr w:rsidR="00CC5A31" w:rsidTr="00945F3C">
        <w:trPr>
          <w:trHeight w:val="1432"/>
        </w:trPr>
        <w:tc>
          <w:tcPr>
            <w:tcW w:w="2198" w:type="dxa"/>
            <w:tcBorders>
              <w:top w:val="single" w:sz="4" w:space="0" w:color="000000"/>
              <w:left w:val="single" w:sz="4" w:space="0" w:color="000000"/>
              <w:bottom w:val="single" w:sz="4" w:space="0" w:color="000000"/>
              <w:right w:val="single" w:sz="4" w:space="0" w:color="000000"/>
            </w:tcBorders>
          </w:tcPr>
          <w:p w:rsidR="00CC5A31" w:rsidRDefault="00CC5A31" w:rsidP="00945F3C">
            <w:pPr>
              <w:ind w:left="4"/>
            </w:pPr>
            <w:r>
              <w:rPr>
                <w:rFonts w:ascii="Century Gothic" w:eastAsia="Century Gothic" w:hAnsi="Century Gothic" w:cs="Century Gothic"/>
                <w:b/>
              </w:rPr>
              <w:t xml:space="preserve">Skills </w:t>
            </w:r>
          </w:p>
        </w:tc>
        <w:tc>
          <w:tcPr>
            <w:tcW w:w="13191" w:type="dxa"/>
            <w:gridSpan w:val="6"/>
            <w:tcBorders>
              <w:top w:val="single" w:sz="4" w:space="0" w:color="000000"/>
              <w:left w:val="single" w:sz="4" w:space="0" w:color="000000"/>
              <w:bottom w:val="single" w:sz="4" w:space="0" w:color="000000"/>
              <w:right w:val="single" w:sz="4" w:space="0" w:color="000000"/>
            </w:tcBorders>
          </w:tcPr>
          <w:p w:rsidR="00CC5A31" w:rsidRDefault="00CC5A31" w:rsidP="00945F3C">
            <w:pPr>
              <w:ind w:left="4"/>
            </w:pPr>
            <w:r>
              <w:rPr>
                <w:rFonts w:ascii="Century Gothic" w:eastAsia="Century Gothic" w:hAnsi="Century Gothic" w:cs="Century Gothic"/>
                <w:b/>
                <w:sz w:val="18"/>
              </w:rPr>
              <w:t xml:space="preserve">Through the use of stories, examples, and scenarios, students will reflect on the characters’ choices, consider decisions for them, and engage with their experiences. Other skills practised at an age-appropriate level are: </w:t>
            </w:r>
          </w:p>
          <w:p w:rsidR="00CC5A31" w:rsidRDefault="00CC5A31" w:rsidP="00945F3C">
            <w:pPr>
              <w:ind w:left="4"/>
            </w:pPr>
            <w:r>
              <w:rPr>
                <w:rFonts w:ascii="Century Gothic" w:eastAsia="Century Gothic" w:hAnsi="Century Gothic" w:cs="Century Gothic"/>
                <w:sz w:val="16"/>
              </w:rPr>
              <w:t xml:space="preserve">○ Empathy.                                                                                                                             ○ Treating others with care and respect. </w:t>
            </w:r>
          </w:p>
          <w:p w:rsidR="00CC5A31" w:rsidRDefault="00CC5A31" w:rsidP="00945F3C">
            <w:pPr>
              <w:ind w:left="3"/>
            </w:pPr>
            <w:r>
              <w:rPr>
                <w:rFonts w:ascii="Century Gothic" w:eastAsia="Century Gothic" w:hAnsi="Century Gothic" w:cs="Century Gothic"/>
                <w:sz w:val="16"/>
              </w:rPr>
              <w:t xml:space="preserve">○ Connection making.                                                                                                          ○ Reflection on the human experience. </w:t>
            </w:r>
          </w:p>
          <w:p w:rsidR="00CC5A31" w:rsidRDefault="00CC5A31" w:rsidP="00945F3C">
            <w:pPr>
              <w:ind w:left="3"/>
            </w:pPr>
            <w:r>
              <w:rPr>
                <w:rFonts w:ascii="Century Gothic" w:eastAsia="Century Gothic" w:hAnsi="Century Gothic" w:cs="Century Gothic"/>
                <w:sz w:val="16"/>
              </w:rPr>
              <w:t xml:space="preserve">○ Knowledge to make their own informed lifestyle decisions (within the law).             ○ Deep reflection and consideration of perspective. </w:t>
            </w:r>
          </w:p>
          <w:p w:rsidR="00CC5A31" w:rsidRDefault="00CC5A31" w:rsidP="00945F3C">
            <w:pPr>
              <w:spacing w:after="26"/>
              <w:ind w:left="3"/>
            </w:pPr>
            <w:r>
              <w:rPr>
                <w:rFonts w:ascii="Century Gothic" w:eastAsia="Century Gothic" w:hAnsi="Century Gothic" w:cs="Century Gothic"/>
                <w:sz w:val="16"/>
              </w:rPr>
              <w:t xml:space="preserve">○ Debate and </w:t>
            </w:r>
            <w:proofErr w:type="spellStart"/>
            <w:r>
              <w:rPr>
                <w:rFonts w:ascii="Century Gothic" w:eastAsia="Century Gothic" w:hAnsi="Century Gothic" w:cs="Century Gothic"/>
                <w:sz w:val="16"/>
              </w:rPr>
              <w:t>oracy</w:t>
            </w:r>
            <w:proofErr w:type="spellEnd"/>
            <w:r>
              <w:rPr>
                <w:rFonts w:ascii="Century Gothic" w:eastAsia="Century Gothic" w:hAnsi="Century Gothic" w:cs="Century Gothic"/>
                <w:sz w:val="16"/>
              </w:rPr>
              <w:t xml:space="preserve"> skills.                                                                                                    ○ Resilience. </w:t>
            </w:r>
          </w:p>
          <w:p w:rsidR="00CC5A31" w:rsidRDefault="00CC5A31" w:rsidP="00945F3C">
            <w:pPr>
              <w:ind w:left="4"/>
            </w:pPr>
            <w:r>
              <w:rPr>
                <w:rFonts w:ascii="Century Gothic" w:eastAsia="Century Gothic" w:hAnsi="Century Gothic" w:cs="Century Gothic"/>
                <w:sz w:val="16"/>
              </w:rPr>
              <w:t>○ Equality and inclusivity.                                                                                                      ○ Maintaining their own self-care.</w:t>
            </w:r>
            <w:r>
              <w:rPr>
                <w:rFonts w:ascii="Century Gothic" w:eastAsia="Century Gothic" w:hAnsi="Century Gothic" w:cs="Century Gothic"/>
              </w:rPr>
              <w:t xml:space="preserve"> </w:t>
            </w:r>
          </w:p>
        </w:tc>
      </w:tr>
      <w:tr w:rsidR="00CC5A31" w:rsidTr="00945F3C">
        <w:trPr>
          <w:trHeight w:val="2119"/>
        </w:trPr>
        <w:tc>
          <w:tcPr>
            <w:tcW w:w="2198" w:type="dxa"/>
            <w:tcBorders>
              <w:top w:val="single" w:sz="4" w:space="0" w:color="000000"/>
              <w:left w:val="single" w:sz="4" w:space="0" w:color="000000"/>
              <w:bottom w:val="single" w:sz="4" w:space="0" w:color="000000"/>
              <w:right w:val="single" w:sz="4" w:space="0" w:color="000000"/>
            </w:tcBorders>
          </w:tcPr>
          <w:p w:rsidR="00CC5A31" w:rsidRDefault="00CC5A31" w:rsidP="00945F3C">
            <w:r>
              <w:rPr>
                <w:rFonts w:ascii="Century Gothic" w:eastAsia="Century Gothic" w:hAnsi="Century Gothic" w:cs="Century Gothic"/>
                <w:b/>
              </w:rPr>
              <w:lastRenderedPageBreak/>
              <w:t xml:space="preserve">Assessments </w:t>
            </w:r>
          </w:p>
        </w:tc>
        <w:tc>
          <w:tcPr>
            <w:tcW w:w="2198" w:type="dxa"/>
            <w:tcBorders>
              <w:top w:val="single" w:sz="4" w:space="0" w:color="000000"/>
              <w:left w:val="single" w:sz="4" w:space="0" w:color="000000"/>
              <w:bottom w:val="single" w:sz="4" w:space="0" w:color="000000"/>
              <w:right w:val="single" w:sz="4" w:space="0" w:color="000000"/>
            </w:tcBorders>
          </w:tcPr>
          <w:p w:rsidR="00CC5A31" w:rsidRDefault="00CC5A31" w:rsidP="00945F3C">
            <w:r>
              <w:rPr>
                <w:rFonts w:ascii="Century Gothic" w:eastAsia="Century Gothic" w:hAnsi="Century Gothic" w:cs="Century Gothic"/>
                <w:sz w:val="16"/>
              </w:rPr>
              <w:t xml:space="preserve">Ongoing formative assessment through regular retrieval and checking for understanding though quizzing, questioning and mini-whiteboards. </w:t>
            </w:r>
          </w:p>
          <w:p w:rsidR="00CC5A31" w:rsidRDefault="00CC5A31" w:rsidP="00945F3C">
            <w:r>
              <w:rPr>
                <w:rFonts w:ascii="Century Gothic" w:eastAsia="Century Gothic" w:hAnsi="Century Gothic" w:cs="Century Gothic"/>
                <w:sz w:val="16"/>
              </w:rPr>
              <w:t xml:space="preserve"> </w:t>
            </w:r>
          </w:p>
        </w:tc>
        <w:tc>
          <w:tcPr>
            <w:tcW w:w="2198" w:type="dxa"/>
            <w:tcBorders>
              <w:top w:val="single" w:sz="4" w:space="0" w:color="000000"/>
              <w:left w:val="single" w:sz="4" w:space="0" w:color="000000"/>
              <w:bottom w:val="single" w:sz="4" w:space="0" w:color="000000"/>
              <w:right w:val="single" w:sz="4" w:space="0" w:color="000000"/>
            </w:tcBorders>
          </w:tcPr>
          <w:p w:rsidR="00CC5A31" w:rsidRDefault="00CC5A31" w:rsidP="00945F3C">
            <w:r>
              <w:rPr>
                <w:rFonts w:ascii="Century Gothic" w:eastAsia="Century Gothic" w:hAnsi="Century Gothic" w:cs="Century Gothic"/>
                <w:sz w:val="16"/>
              </w:rPr>
              <w:t xml:space="preserve">Ongoing formative assessment through regular retrieval and checking for understanding though quizzing, questioning and mini-whiteboards. </w:t>
            </w:r>
          </w:p>
          <w:p w:rsidR="00CC5A31" w:rsidRDefault="00CC5A31" w:rsidP="00945F3C">
            <w:pPr>
              <w:spacing w:line="239" w:lineRule="auto"/>
              <w:ind w:right="236"/>
              <w:jc w:val="both"/>
            </w:pPr>
          </w:p>
          <w:p w:rsidR="00CC5A31" w:rsidRDefault="00CC5A31" w:rsidP="00945F3C">
            <w:pPr>
              <w:spacing w:line="239" w:lineRule="auto"/>
              <w:ind w:right="236"/>
              <w:jc w:val="both"/>
            </w:pPr>
          </w:p>
          <w:p w:rsidR="00CC5A31" w:rsidRDefault="00CC5A31" w:rsidP="00945F3C">
            <w:pPr>
              <w:spacing w:line="239" w:lineRule="auto"/>
              <w:ind w:right="236"/>
              <w:jc w:val="both"/>
            </w:pPr>
            <w:r>
              <w:t xml:space="preserve">Termly quiz to consolidate content learnt. </w:t>
            </w:r>
          </w:p>
          <w:p w:rsidR="00CC5A31" w:rsidRDefault="00CC5A31" w:rsidP="00945F3C">
            <w:pPr>
              <w:spacing w:after="96"/>
            </w:pPr>
            <w:r>
              <w:rPr>
                <w:rFonts w:ascii="Century Gothic" w:eastAsia="Century Gothic" w:hAnsi="Century Gothic" w:cs="Century Gothic"/>
                <w:sz w:val="6"/>
              </w:rPr>
              <w:t xml:space="preserve"> </w:t>
            </w:r>
          </w:p>
          <w:p w:rsidR="00CC5A31" w:rsidRDefault="00CC5A31" w:rsidP="00945F3C">
            <w:r>
              <w:rPr>
                <w:rFonts w:ascii="Century Gothic" w:eastAsia="Century Gothic" w:hAnsi="Century Gothic" w:cs="Century Gothic"/>
                <w:sz w:val="16"/>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CC5A31" w:rsidRDefault="00CC5A31" w:rsidP="00945F3C">
            <w:r>
              <w:rPr>
                <w:rFonts w:ascii="Century Gothic" w:eastAsia="Century Gothic" w:hAnsi="Century Gothic" w:cs="Century Gothic"/>
                <w:sz w:val="16"/>
              </w:rPr>
              <w:t xml:space="preserve">Ongoing formative assessment through regular retrieval and checking for understanding though quizzing, questioning and mini-whiteboards. </w:t>
            </w:r>
          </w:p>
          <w:p w:rsidR="00CC5A31" w:rsidRDefault="00CC5A31" w:rsidP="00945F3C"/>
        </w:tc>
        <w:tc>
          <w:tcPr>
            <w:tcW w:w="2198" w:type="dxa"/>
            <w:tcBorders>
              <w:top w:val="single" w:sz="4" w:space="0" w:color="000000"/>
              <w:left w:val="single" w:sz="4" w:space="0" w:color="000000"/>
              <w:bottom w:val="single" w:sz="4" w:space="0" w:color="000000"/>
              <w:right w:val="single" w:sz="4" w:space="0" w:color="000000"/>
            </w:tcBorders>
          </w:tcPr>
          <w:p w:rsidR="00CC5A31" w:rsidRDefault="00CC5A31" w:rsidP="00945F3C">
            <w:r>
              <w:rPr>
                <w:rFonts w:ascii="Century Gothic" w:eastAsia="Century Gothic" w:hAnsi="Century Gothic" w:cs="Century Gothic"/>
                <w:sz w:val="16"/>
              </w:rPr>
              <w:t xml:space="preserve">Ongoing formative assessment through regular retrieval and checking for understanding though quizzing, questioning and mini-whiteboards. </w:t>
            </w:r>
          </w:p>
          <w:p w:rsidR="00CC5A31" w:rsidRDefault="00CC5A31" w:rsidP="00945F3C">
            <w:pPr>
              <w:spacing w:line="239" w:lineRule="auto"/>
              <w:ind w:right="236"/>
              <w:jc w:val="both"/>
            </w:pPr>
          </w:p>
          <w:p w:rsidR="00CC5A31" w:rsidRDefault="00CC5A31" w:rsidP="00945F3C">
            <w:pPr>
              <w:spacing w:line="239" w:lineRule="auto"/>
              <w:ind w:right="236"/>
              <w:jc w:val="both"/>
            </w:pPr>
          </w:p>
          <w:p w:rsidR="00CC5A31" w:rsidRDefault="00CC5A31" w:rsidP="00945F3C">
            <w:pPr>
              <w:spacing w:line="239" w:lineRule="auto"/>
              <w:ind w:right="236"/>
              <w:jc w:val="both"/>
            </w:pPr>
            <w:r>
              <w:t xml:space="preserve">Termly quiz to consolidate content learnt. </w:t>
            </w:r>
          </w:p>
          <w:p w:rsidR="00CC5A31" w:rsidRDefault="00CC5A31" w:rsidP="00945F3C"/>
        </w:tc>
        <w:tc>
          <w:tcPr>
            <w:tcW w:w="2201" w:type="dxa"/>
            <w:tcBorders>
              <w:top w:val="single" w:sz="4" w:space="0" w:color="000000"/>
              <w:left w:val="single" w:sz="4" w:space="0" w:color="000000"/>
              <w:bottom w:val="single" w:sz="4" w:space="0" w:color="000000"/>
              <w:right w:val="single" w:sz="4" w:space="0" w:color="000000"/>
            </w:tcBorders>
          </w:tcPr>
          <w:p w:rsidR="00CC5A31" w:rsidRDefault="00CC5A31" w:rsidP="00945F3C">
            <w:r>
              <w:rPr>
                <w:rFonts w:ascii="Century Gothic" w:eastAsia="Century Gothic" w:hAnsi="Century Gothic" w:cs="Century Gothic"/>
                <w:sz w:val="16"/>
              </w:rPr>
              <w:t xml:space="preserve">Ongoing formative assessment through regular retrieval and checking for understanding though quizzing, questioning and mini-whiteboards. </w:t>
            </w:r>
          </w:p>
          <w:p w:rsidR="00CC5A31" w:rsidRDefault="00CC5A31" w:rsidP="00945F3C"/>
        </w:tc>
        <w:tc>
          <w:tcPr>
            <w:tcW w:w="2200" w:type="dxa"/>
            <w:tcBorders>
              <w:top w:val="single" w:sz="4" w:space="0" w:color="000000"/>
              <w:left w:val="single" w:sz="4" w:space="0" w:color="000000"/>
              <w:bottom w:val="single" w:sz="4" w:space="0" w:color="000000"/>
              <w:right w:val="single" w:sz="4" w:space="0" w:color="000000"/>
            </w:tcBorders>
          </w:tcPr>
          <w:p w:rsidR="00CC5A31" w:rsidRDefault="00CC5A31" w:rsidP="00945F3C">
            <w:r>
              <w:rPr>
                <w:rFonts w:ascii="Century Gothic" w:eastAsia="Century Gothic" w:hAnsi="Century Gothic" w:cs="Century Gothic"/>
                <w:sz w:val="16"/>
              </w:rPr>
              <w:t xml:space="preserve">Ongoing formative assessment through regular retrieval and checking for understanding though quizzing, questioning and mini-whiteboards. </w:t>
            </w:r>
          </w:p>
          <w:p w:rsidR="00CC5A31" w:rsidRDefault="00CC5A31" w:rsidP="00945F3C">
            <w:pPr>
              <w:spacing w:line="239" w:lineRule="auto"/>
              <w:ind w:right="236"/>
              <w:jc w:val="both"/>
            </w:pPr>
          </w:p>
          <w:p w:rsidR="00CC5A31" w:rsidRDefault="00CC5A31" w:rsidP="00945F3C">
            <w:pPr>
              <w:spacing w:line="239" w:lineRule="auto"/>
              <w:ind w:right="236"/>
              <w:jc w:val="both"/>
            </w:pPr>
          </w:p>
          <w:p w:rsidR="00CC5A31" w:rsidRDefault="00CC5A31" w:rsidP="00945F3C">
            <w:pPr>
              <w:spacing w:line="239" w:lineRule="auto"/>
              <w:ind w:right="236"/>
              <w:jc w:val="both"/>
            </w:pPr>
            <w:r>
              <w:t xml:space="preserve">Termly quiz to consolidate content learnt. </w:t>
            </w:r>
          </w:p>
          <w:p w:rsidR="00CC5A31" w:rsidRDefault="00CC5A31" w:rsidP="00945F3C">
            <w:r>
              <w:rPr>
                <w:rFonts w:ascii="Century Gothic" w:eastAsia="Century Gothic" w:hAnsi="Century Gothic" w:cs="Century Gothic"/>
                <w:sz w:val="16"/>
              </w:rPr>
              <w:t xml:space="preserve"> </w:t>
            </w:r>
          </w:p>
          <w:p w:rsidR="00CC5A31" w:rsidRDefault="00CC5A31" w:rsidP="00945F3C">
            <w:r>
              <w:rPr>
                <w:rFonts w:ascii="Century Gothic" w:eastAsia="Century Gothic" w:hAnsi="Century Gothic" w:cs="Century Gothic"/>
                <w:sz w:val="16"/>
              </w:rPr>
              <w:t xml:space="preserve"> </w:t>
            </w:r>
          </w:p>
          <w:p w:rsidR="00CC5A31" w:rsidRDefault="00CC5A31" w:rsidP="00945F3C">
            <w:r>
              <w:rPr>
                <w:rFonts w:ascii="Century Gothic" w:eastAsia="Century Gothic" w:hAnsi="Century Gothic" w:cs="Century Gothic"/>
                <w:sz w:val="16"/>
              </w:rPr>
              <w:t xml:space="preserve"> </w:t>
            </w:r>
          </w:p>
          <w:p w:rsidR="00CC5A31" w:rsidRDefault="00CC5A31" w:rsidP="00945F3C">
            <w:r>
              <w:rPr>
                <w:rFonts w:ascii="Century Gothic" w:eastAsia="Century Gothic" w:hAnsi="Century Gothic" w:cs="Century Gothic"/>
                <w:sz w:val="16"/>
              </w:rPr>
              <w:t xml:space="preserve"> </w:t>
            </w:r>
          </w:p>
        </w:tc>
      </w:tr>
    </w:tbl>
    <w:p w:rsidR="00040563" w:rsidRDefault="00040563"/>
    <w:sectPr w:rsidR="00040563" w:rsidSect="00CC5A3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A1C0E"/>
    <w:multiLevelType w:val="hybridMultilevel"/>
    <w:tmpl w:val="E68AC5A2"/>
    <w:lvl w:ilvl="0" w:tplc="7294F24A">
      <w:start w:val="1"/>
      <w:numFmt w:val="bullet"/>
      <w:lvlText w:val="•"/>
      <w:lvlJc w:val="left"/>
      <w:pPr>
        <w:ind w:left="24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81B0BD3A">
      <w:start w:val="1"/>
      <w:numFmt w:val="bullet"/>
      <w:lvlText w:val="o"/>
      <w:lvlJc w:val="left"/>
      <w:pPr>
        <w:ind w:left="128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14A8E6E0">
      <w:start w:val="1"/>
      <w:numFmt w:val="bullet"/>
      <w:lvlText w:val="▪"/>
      <w:lvlJc w:val="left"/>
      <w:pPr>
        <w:ind w:left="200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D228EAF8">
      <w:start w:val="1"/>
      <w:numFmt w:val="bullet"/>
      <w:lvlText w:val="•"/>
      <w:lvlJc w:val="left"/>
      <w:pPr>
        <w:ind w:left="272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E02A2690">
      <w:start w:val="1"/>
      <w:numFmt w:val="bullet"/>
      <w:lvlText w:val="o"/>
      <w:lvlJc w:val="left"/>
      <w:pPr>
        <w:ind w:left="344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AA4CC2D6">
      <w:start w:val="1"/>
      <w:numFmt w:val="bullet"/>
      <w:lvlText w:val="▪"/>
      <w:lvlJc w:val="left"/>
      <w:pPr>
        <w:ind w:left="416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0DC492B6">
      <w:start w:val="1"/>
      <w:numFmt w:val="bullet"/>
      <w:lvlText w:val="•"/>
      <w:lvlJc w:val="left"/>
      <w:pPr>
        <w:ind w:left="488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DAB6362A">
      <w:start w:val="1"/>
      <w:numFmt w:val="bullet"/>
      <w:lvlText w:val="o"/>
      <w:lvlJc w:val="left"/>
      <w:pPr>
        <w:ind w:left="560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659443FE">
      <w:start w:val="1"/>
      <w:numFmt w:val="bullet"/>
      <w:lvlText w:val="▪"/>
      <w:lvlJc w:val="left"/>
      <w:pPr>
        <w:ind w:left="632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30B017CE"/>
    <w:multiLevelType w:val="hybridMultilevel"/>
    <w:tmpl w:val="F2903B22"/>
    <w:lvl w:ilvl="0" w:tplc="F5C055B2">
      <w:start w:val="1"/>
      <w:numFmt w:val="bullet"/>
      <w:lvlText w:val="•"/>
      <w:lvlJc w:val="left"/>
      <w:pPr>
        <w:ind w:left="24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178A58F2">
      <w:start w:val="1"/>
      <w:numFmt w:val="bullet"/>
      <w:lvlText w:val="o"/>
      <w:lvlJc w:val="left"/>
      <w:pPr>
        <w:ind w:left="128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A6B047F2">
      <w:start w:val="1"/>
      <w:numFmt w:val="bullet"/>
      <w:lvlText w:val="▪"/>
      <w:lvlJc w:val="left"/>
      <w:pPr>
        <w:ind w:left="200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8E4687CE">
      <w:start w:val="1"/>
      <w:numFmt w:val="bullet"/>
      <w:lvlText w:val="•"/>
      <w:lvlJc w:val="left"/>
      <w:pPr>
        <w:ind w:left="272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4A6EB0B2">
      <w:start w:val="1"/>
      <w:numFmt w:val="bullet"/>
      <w:lvlText w:val="o"/>
      <w:lvlJc w:val="left"/>
      <w:pPr>
        <w:ind w:left="344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21CCE6BE">
      <w:start w:val="1"/>
      <w:numFmt w:val="bullet"/>
      <w:lvlText w:val="▪"/>
      <w:lvlJc w:val="left"/>
      <w:pPr>
        <w:ind w:left="416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98683A8A">
      <w:start w:val="1"/>
      <w:numFmt w:val="bullet"/>
      <w:lvlText w:val="•"/>
      <w:lvlJc w:val="left"/>
      <w:pPr>
        <w:ind w:left="488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4AF4C6F2">
      <w:start w:val="1"/>
      <w:numFmt w:val="bullet"/>
      <w:lvlText w:val="o"/>
      <w:lvlJc w:val="left"/>
      <w:pPr>
        <w:ind w:left="560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E3EA3AFC">
      <w:start w:val="1"/>
      <w:numFmt w:val="bullet"/>
      <w:lvlText w:val="▪"/>
      <w:lvlJc w:val="left"/>
      <w:pPr>
        <w:ind w:left="632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5C305E51"/>
    <w:multiLevelType w:val="hybridMultilevel"/>
    <w:tmpl w:val="3912EE58"/>
    <w:lvl w:ilvl="0" w:tplc="35567322">
      <w:start w:val="1"/>
      <w:numFmt w:val="bullet"/>
      <w:lvlText w:val="•"/>
      <w:lvlJc w:val="left"/>
      <w:pPr>
        <w:ind w:left="24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4BBE2C24">
      <w:start w:val="1"/>
      <w:numFmt w:val="bullet"/>
      <w:lvlText w:val="o"/>
      <w:lvlJc w:val="left"/>
      <w:pPr>
        <w:ind w:left="128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DC50AD9A">
      <w:start w:val="1"/>
      <w:numFmt w:val="bullet"/>
      <w:lvlText w:val="▪"/>
      <w:lvlJc w:val="left"/>
      <w:pPr>
        <w:ind w:left="200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925C6A60">
      <w:start w:val="1"/>
      <w:numFmt w:val="bullet"/>
      <w:lvlText w:val="•"/>
      <w:lvlJc w:val="left"/>
      <w:pPr>
        <w:ind w:left="272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3DB80860">
      <w:start w:val="1"/>
      <w:numFmt w:val="bullet"/>
      <w:lvlText w:val="o"/>
      <w:lvlJc w:val="left"/>
      <w:pPr>
        <w:ind w:left="344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9C5E47F6">
      <w:start w:val="1"/>
      <w:numFmt w:val="bullet"/>
      <w:lvlText w:val="▪"/>
      <w:lvlJc w:val="left"/>
      <w:pPr>
        <w:ind w:left="416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29A87F14">
      <w:start w:val="1"/>
      <w:numFmt w:val="bullet"/>
      <w:lvlText w:val="•"/>
      <w:lvlJc w:val="left"/>
      <w:pPr>
        <w:ind w:left="488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8A102CC0">
      <w:start w:val="1"/>
      <w:numFmt w:val="bullet"/>
      <w:lvlText w:val="o"/>
      <w:lvlJc w:val="left"/>
      <w:pPr>
        <w:ind w:left="560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496C2098">
      <w:start w:val="1"/>
      <w:numFmt w:val="bullet"/>
      <w:lvlText w:val="▪"/>
      <w:lvlJc w:val="left"/>
      <w:pPr>
        <w:ind w:left="632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75FB668B"/>
    <w:multiLevelType w:val="hybridMultilevel"/>
    <w:tmpl w:val="5792F274"/>
    <w:lvl w:ilvl="0" w:tplc="F9E094F0">
      <w:start w:val="1"/>
      <w:numFmt w:val="bullet"/>
      <w:lvlText w:val="•"/>
      <w:lvlJc w:val="left"/>
      <w:pPr>
        <w:ind w:left="24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4DE0DA34">
      <w:start w:val="1"/>
      <w:numFmt w:val="bullet"/>
      <w:lvlText w:val="o"/>
      <w:lvlJc w:val="left"/>
      <w:pPr>
        <w:ind w:left="128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80C0A4F8">
      <w:start w:val="1"/>
      <w:numFmt w:val="bullet"/>
      <w:lvlText w:val="▪"/>
      <w:lvlJc w:val="left"/>
      <w:pPr>
        <w:ind w:left="200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5C4687B8">
      <w:start w:val="1"/>
      <w:numFmt w:val="bullet"/>
      <w:lvlText w:val="•"/>
      <w:lvlJc w:val="left"/>
      <w:pPr>
        <w:ind w:left="272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2ED039D0">
      <w:start w:val="1"/>
      <w:numFmt w:val="bullet"/>
      <w:lvlText w:val="o"/>
      <w:lvlJc w:val="left"/>
      <w:pPr>
        <w:ind w:left="344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70469EB6">
      <w:start w:val="1"/>
      <w:numFmt w:val="bullet"/>
      <w:lvlText w:val="▪"/>
      <w:lvlJc w:val="left"/>
      <w:pPr>
        <w:ind w:left="416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415E00E0">
      <w:start w:val="1"/>
      <w:numFmt w:val="bullet"/>
      <w:lvlText w:val="•"/>
      <w:lvlJc w:val="left"/>
      <w:pPr>
        <w:ind w:left="488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C08D96E">
      <w:start w:val="1"/>
      <w:numFmt w:val="bullet"/>
      <w:lvlText w:val="o"/>
      <w:lvlJc w:val="left"/>
      <w:pPr>
        <w:ind w:left="560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DA2C6DFC">
      <w:start w:val="1"/>
      <w:numFmt w:val="bullet"/>
      <w:lvlText w:val="▪"/>
      <w:lvlJc w:val="left"/>
      <w:pPr>
        <w:ind w:left="632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795F0AE8"/>
    <w:multiLevelType w:val="hybridMultilevel"/>
    <w:tmpl w:val="1ADE3DEC"/>
    <w:lvl w:ilvl="0" w:tplc="EEF48AEA">
      <w:start w:val="1"/>
      <w:numFmt w:val="bullet"/>
      <w:lvlText w:val="•"/>
      <w:lvlJc w:val="left"/>
      <w:pPr>
        <w:ind w:left="24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D03C2C24">
      <w:start w:val="1"/>
      <w:numFmt w:val="bullet"/>
      <w:lvlText w:val="o"/>
      <w:lvlJc w:val="left"/>
      <w:pPr>
        <w:ind w:left="128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C77A4B84">
      <w:start w:val="1"/>
      <w:numFmt w:val="bullet"/>
      <w:lvlText w:val="▪"/>
      <w:lvlJc w:val="left"/>
      <w:pPr>
        <w:ind w:left="200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7CFAF470">
      <w:start w:val="1"/>
      <w:numFmt w:val="bullet"/>
      <w:lvlText w:val="•"/>
      <w:lvlJc w:val="left"/>
      <w:pPr>
        <w:ind w:left="272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FD542DF6">
      <w:start w:val="1"/>
      <w:numFmt w:val="bullet"/>
      <w:lvlText w:val="o"/>
      <w:lvlJc w:val="left"/>
      <w:pPr>
        <w:ind w:left="344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C08EC324">
      <w:start w:val="1"/>
      <w:numFmt w:val="bullet"/>
      <w:lvlText w:val="▪"/>
      <w:lvlJc w:val="left"/>
      <w:pPr>
        <w:ind w:left="416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E3302AC4">
      <w:start w:val="1"/>
      <w:numFmt w:val="bullet"/>
      <w:lvlText w:val="•"/>
      <w:lvlJc w:val="left"/>
      <w:pPr>
        <w:ind w:left="488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1A7EBEDC">
      <w:start w:val="1"/>
      <w:numFmt w:val="bullet"/>
      <w:lvlText w:val="o"/>
      <w:lvlJc w:val="left"/>
      <w:pPr>
        <w:ind w:left="560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7616B0C0">
      <w:start w:val="1"/>
      <w:numFmt w:val="bullet"/>
      <w:lvlText w:val="▪"/>
      <w:lvlJc w:val="left"/>
      <w:pPr>
        <w:ind w:left="632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A31"/>
    <w:rsid w:val="00040563"/>
    <w:rsid w:val="00CC5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97300"/>
  <w15:chartTrackingRefBased/>
  <w15:docId w15:val="{E7FD4255-70D5-45E5-B374-7D82DCC6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A3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C5A31"/>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Longdendale High School</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Lowe</dc:creator>
  <cp:keywords/>
  <dc:description/>
  <cp:lastModifiedBy>Gemma Lowe</cp:lastModifiedBy>
  <cp:revision>1</cp:revision>
  <dcterms:created xsi:type="dcterms:W3CDTF">2023-07-20T14:20:00Z</dcterms:created>
  <dcterms:modified xsi:type="dcterms:W3CDTF">2023-07-20T14:35:00Z</dcterms:modified>
</cp:coreProperties>
</file>