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F6" w:rsidRDefault="00C21DF6">
      <w:pPr>
        <w:spacing w:after="0"/>
        <w:ind w:left="-1440" w:right="295"/>
      </w:pPr>
    </w:p>
    <w:tbl>
      <w:tblPr>
        <w:tblStyle w:val="TableGrid"/>
        <w:tblW w:w="16171" w:type="dxa"/>
        <w:tblInd w:w="-146" w:type="dxa"/>
        <w:tblCellMar>
          <w:top w:w="70" w:type="dxa"/>
          <w:left w:w="59" w:type="dxa"/>
          <w:bottom w:w="0" w:type="dxa"/>
          <w:right w:w="228" w:type="dxa"/>
        </w:tblCellMar>
        <w:tblLook w:val="04A0" w:firstRow="1" w:lastRow="0" w:firstColumn="1" w:lastColumn="0" w:noHBand="0" w:noVBand="1"/>
      </w:tblPr>
      <w:tblGrid>
        <w:gridCol w:w="6611"/>
        <w:gridCol w:w="9560"/>
      </w:tblGrid>
      <w:tr w:rsidR="00C21DF6">
        <w:trPr>
          <w:trHeight w:val="737"/>
        </w:trPr>
        <w:tc>
          <w:tcPr>
            <w:tcW w:w="1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DF6" w:rsidRDefault="00615F5E">
            <w:pPr>
              <w:spacing w:after="23"/>
              <w:ind w:left="17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Year 11 – Apply</w:t>
            </w:r>
          </w:p>
          <w:p w:rsidR="00C21DF6" w:rsidRDefault="00615F5E">
            <w:pPr>
              <w:spacing w:after="0"/>
              <w:ind w:left="167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Students </w:t>
            </w:r>
            <w:r>
              <w:rPr>
                <w:rFonts w:ascii="Century Gothic" w:eastAsia="Century Gothic" w:hAnsi="Century Gothic" w:cs="Century Gothic"/>
                <w:b/>
                <w:color w:val="F50B2C"/>
              </w:rPr>
              <w:t>see the big picture by connecting their own life and career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color w:val="7030A0"/>
              </w:rPr>
              <w:t xml:space="preserve">balancing their wellbeing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b/>
                <w:color w:val="F2B800"/>
              </w:rPr>
              <w:t>building positive relationships with others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</w:tc>
      </w:tr>
      <w:tr w:rsidR="00C21DF6">
        <w:trPr>
          <w:trHeight w:val="377"/>
        </w:trPr>
        <w:tc>
          <w:tcPr>
            <w:tcW w:w="6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DF6" w:rsidRDefault="00615F5E">
            <w:pPr>
              <w:spacing w:after="0"/>
              <w:ind w:left="167"/>
              <w:jc w:val="center"/>
            </w:pPr>
            <w:r>
              <w:rPr>
                <w:rFonts w:ascii="Century Gothic" w:eastAsia="Century Gothic" w:hAnsi="Century Gothic" w:cs="Century Gothic"/>
              </w:rPr>
              <w:t>Measurable Outcomes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DF6" w:rsidRDefault="00615F5E">
            <w:pPr>
              <w:spacing w:after="0"/>
              <w:ind w:left="169"/>
              <w:jc w:val="center"/>
            </w:pPr>
            <w:r>
              <w:rPr>
                <w:rFonts w:ascii="Century Gothic" w:eastAsia="Century Gothic" w:hAnsi="Century Gothic" w:cs="Century Gothic"/>
              </w:rPr>
              <w:t>Activities</w:t>
            </w:r>
          </w:p>
        </w:tc>
      </w:tr>
      <w:tr w:rsidR="00C21DF6">
        <w:trPr>
          <w:trHeight w:val="5943"/>
        </w:trPr>
        <w:tc>
          <w:tcPr>
            <w:tcW w:w="6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DF6" w:rsidRDefault="00615F5E">
            <w:pPr>
              <w:spacing w:after="120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No students leave school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>NEET</w:t>
            </w:r>
            <w:r>
              <w:rPr>
                <w:rFonts w:ascii="Century Gothic" w:eastAsia="Century Gothic" w:hAnsi="Century Gothic" w:cs="Century Gothic"/>
                <w:sz w:val="21"/>
              </w:rPr>
              <w:t>.</w:t>
            </w:r>
          </w:p>
          <w:p w:rsidR="00C21DF6" w:rsidRDefault="00615F5E">
            <w:pPr>
              <w:spacing w:after="134" w:line="231" w:lineRule="auto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95%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of students are accepted at their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first choice </w:t>
            </w:r>
            <w:r>
              <w:rPr>
                <w:rFonts w:ascii="Century Gothic" w:eastAsia="Century Gothic" w:hAnsi="Century Gothic" w:cs="Century Gothic"/>
                <w:sz w:val="21"/>
              </w:rPr>
              <w:t>Post-16 provider.</w:t>
            </w:r>
          </w:p>
          <w:p w:rsidR="00C21DF6" w:rsidRDefault="00615F5E">
            <w:pPr>
              <w:spacing w:after="118" w:line="231" w:lineRule="auto"/>
              <w:jc w:val="both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Students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continue to progress </w:t>
            </w:r>
            <w:r>
              <w:rPr>
                <w:rFonts w:ascii="Century Gothic" w:eastAsia="Century Gothic" w:hAnsi="Century Gothic" w:cs="Century Gothic"/>
                <w:sz w:val="21"/>
              </w:rPr>
              <w:t>to the most successful post-16 institutions/ apprenticeship providers in Greater Manchester.</w:t>
            </w:r>
          </w:p>
          <w:p w:rsidR="00C21DF6" w:rsidRDefault="00615F5E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have an opportunity to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meet representatives of </w:t>
            </w:r>
          </w:p>
          <w:p w:rsidR="00C21DF6" w:rsidRDefault="00615F5E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>Post-16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 providers </w:t>
            </w:r>
            <w:r>
              <w:rPr>
                <w:rFonts w:ascii="Century Gothic" w:eastAsia="Century Gothic" w:hAnsi="Century Gothic" w:cs="Century Gothic"/>
                <w:sz w:val="21"/>
              </w:rPr>
              <w:t>or to visit those institutions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DF6" w:rsidRDefault="00615F5E">
            <w:pPr>
              <w:spacing w:after="55"/>
              <w:ind w:left="21"/>
            </w:pPr>
            <w:r>
              <w:rPr>
                <w:rFonts w:ascii="Century Gothic" w:eastAsia="Century Gothic" w:hAnsi="Century Gothic" w:cs="Century Gothic"/>
                <w:sz w:val="21"/>
              </w:rPr>
              <w:t>PSHE Programme SU1</w:t>
            </w:r>
          </w:p>
          <w:p w:rsidR="00C21DF6" w:rsidRDefault="00615F5E">
            <w:pPr>
              <w:spacing w:after="20"/>
              <w:ind w:left="21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>CEIAG: Moving on from High School</w:t>
            </w:r>
          </w:p>
          <w:p w:rsidR="00C21DF6" w:rsidRDefault="00615F5E">
            <w:pPr>
              <w:numPr>
                <w:ilvl w:val="0"/>
                <w:numId w:val="1"/>
              </w:numPr>
              <w:spacing w:after="7"/>
              <w:ind w:right="29"/>
            </w:pPr>
            <w:r>
              <w:rPr>
                <w:rFonts w:ascii="Century Gothic" w:eastAsia="Century Gothic" w:hAnsi="Century Gothic" w:cs="Century Gothic"/>
                <w:sz w:val="21"/>
              </w:rPr>
              <w:t>Post 16 preparation</w:t>
            </w:r>
          </w:p>
          <w:p w:rsidR="00615F5E" w:rsidRPr="00615F5E" w:rsidRDefault="00615F5E">
            <w:pPr>
              <w:numPr>
                <w:ilvl w:val="0"/>
                <w:numId w:val="1"/>
              </w:numPr>
              <w:spacing w:after="1" w:line="303" w:lineRule="auto"/>
              <w:ind w:right="29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Further advice from LA Careers adviser. (Ongoing all year) </w:t>
            </w:r>
          </w:p>
          <w:p w:rsidR="00C21DF6" w:rsidRDefault="00615F5E" w:rsidP="00615F5E">
            <w:pPr>
              <w:spacing w:after="1" w:line="303" w:lineRule="auto"/>
              <w:ind w:right="29"/>
            </w:pPr>
            <w:bookmarkStart w:id="0" w:name="_GoBack"/>
            <w:bookmarkEnd w:id="0"/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>Guest speaker talks - what they do when they are not at work and how they balance demands on their time.</w:t>
            </w:r>
          </w:p>
          <w:p w:rsidR="00C21DF6" w:rsidRDefault="00615F5E">
            <w:pPr>
              <w:numPr>
                <w:ilvl w:val="0"/>
                <w:numId w:val="2"/>
              </w:numPr>
              <w:spacing w:after="1" w:line="306" w:lineRule="auto"/>
              <w:ind w:hanging="540"/>
            </w:pPr>
            <w:r>
              <w:rPr>
                <w:rFonts w:ascii="Century Gothic" w:eastAsia="Century Gothic" w:hAnsi="Century Gothic" w:cs="Century Gothic"/>
                <w:sz w:val="21"/>
              </w:rPr>
              <w:t>FE provider: Post 16 preparation (reading in readiness for FE courses, skills to develop etc)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0" w:line="317" w:lineRule="auto"/>
              <w:ind w:hanging="540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Futures Roadshow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0" w:line="317" w:lineRule="auto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>College open and taster day</w:t>
            </w:r>
            <w:r w:rsidRPr="00615F5E">
              <w:rPr>
                <w:rFonts w:ascii="Century Gothic" w:eastAsia="Century Gothic" w:hAnsi="Century Gothic" w:cs="Century Gothic"/>
                <w:sz w:val="21"/>
              </w:rPr>
              <w:t xml:space="preserve">s 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0" w:line="317" w:lineRule="auto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 xml:space="preserve">Colleges and employers available at parents’ evenings and events 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0" w:line="317" w:lineRule="auto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 xml:space="preserve">NCS Assembly and representation at parents’ evenings and events </w:t>
            </w:r>
          </w:p>
          <w:p w:rsidR="00C21DF6" w:rsidRDefault="00615F5E" w:rsidP="00615F5E">
            <w:pPr>
              <w:numPr>
                <w:ilvl w:val="0"/>
                <w:numId w:val="2"/>
              </w:numPr>
              <w:spacing w:after="0" w:line="317" w:lineRule="auto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>Student leadership opportunities – clear roles and responsibilities</w:t>
            </w:r>
            <w:r w:rsidRPr="00615F5E"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51"/>
              <w:ind w:hanging="540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Students introduced to </w:t>
            </w:r>
            <w:r>
              <w:rPr>
                <w:rFonts w:ascii="Century Gothic" w:eastAsia="Century Gothic" w:hAnsi="Century Gothic" w:cs="Century Gothic"/>
                <w:sz w:val="21"/>
              </w:rPr>
              <w:t>i</w:t>
            </w:r>
            <w:r>
              <w:rPr>
                <w:rFonts w:ascii="Century Gothic" w:eastAsia="Century Gothic" w:hAnsi="Century Gothic" w:cs="Century Gothic"/>
                <w:sz w:val="21"/>
              </w:rPr>
              <w:t>n</w:t>
            </w:r>
            <w:r>
              <w:rPr>
                <w:rFonts w:ascii="Century Gothic" w:eastAsia="Century Gothic" w:hAnsi="Century Gothic" w:cs="Century Gothic"/>
                <w:sz w:val="21"/>
              </w:rPr>
              <w:t>d</w:t>
            </w:r>
            <w:r>
              <w:rPr>
                <w:rFonts w:ascii="Century Gothic" w:eastAsia="Century Gothic" w:hAnsi="Century Gothic" w:cs="Century Gothic"/>
                <w:sz w:val="21"/>
              </w:rPr>
              <w:t>e</w:t>
            </w:r>
            <w:r>
              <w:rPr>
                <w:rFonts w:ascii="Century Gothic" w:eastAsia="Century Gothic" w:hAnsi="Century Gothic" w:cs="Century Gothic"/>
                <w:sz w:val="21"/>
              </w:rPr>
              <w:t>p</w:t>
            </w:r>
            <w:r>
              <w:rPr>
                <w:rFonts w:ascii="Century Gothic" w:eastAsia="Century Gothic" w:hAnsi="Century Gothic" w:cs="Century Gothic"/>
                <w:sz w:val="21"/>
              </w:rPr>
              <w:t>e</w:t>
            </w:r>
            <w:r>
              <w:rPr>
                <w:rFonts w:ascii="Century Gothic" w:eastAsia="Century Gothic" w:hAnsi="Century Gothic" w:cs="Century Gothic"/>
                <w:sz w:val="21"/>
              </w:rPr>
              <w:t>n</w:t>
            </w:r>
            <w:r>
              <w:rPr>
                <w:rFonts w:ascii="Century Gothic" w:eastAsia="Century Gothic" w:hAnsi="Century Gothic" w:cs="Century Gothic"/>
                <w:sz w:val="21"/>
              </w:rPr>
              <w:t>d</w:t>
            </w:r>
            <w:r>
              <w:rPr>
                <w:rFonts w:ascii="Century Gothic" w:eastAsia="Century Gothic" w:hAnsi="Century Gothic" w:cs="Century Gothic"/>
                <w:sz w:val="21"/>
              </w:rPr>
              <w:t>e</w:t>
            </w:r>
            <w:r>
              <w:rPr>
                <w:rFonts w:ascii="Century Gothic" w:eastAsia="Century Gothic" w:hAnsi="Century Gothic" w:cs="Century Gothic"/>
                <w:sz w:val="21"/>
              </w:rPr>
              <w:t>n</w:t>
            </w:r>
            <w:r>
              <w:rPr>
                <w:rFonts w:ascii="Century Gothic" w:eastAsia="Century Gothic" w:hAnsi="Century Gothic" w:cs="Century Gothic"/>
                <w:sz w:val="21"/>
              </w:rPr>
              <w:t>t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1"/>
              </w:rPr>
              <w:t>V</w:t>
            </w:r>
            <w:r>
              <w:rPr>
                <w:rFonts w:ascii="Century Gothic" w:eastAsia="Century Gothic" w:hAnsi="Century Gothic" w:cs="Century Gothic"/>
                <w:sz w:val="21"/>
              </w:rPr>
              <w:t>W</w:t>
            </w:r>
            <w:r>
              <w:rPr>
                <w:rFonts w:ascii="Century Gothic" w:eastAsia="Century Gothic" w:hAnsi="Century Gothic" w:cs="Century Gothic"/>
                <w:sz w:val="21"/>
              </w:rPr>
              <w:t>E</w:t>
            </w:r>
            <w:r>
              <w:rPr>
                <w:rFonts w:ascii="Century Gothic" w:eastAsia="Century Gothic" w:hAnsi="Century Gothic" w:cs="Century Gothic"/>
                <w:sz w:val="21"/>
              </w:rPr>
              <w:t>X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1"/>
              </w:rPr>
              <w:t>through Barclays Life Skills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51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 xml:space="preserve">Head of Year reference </w:t>
            </w:r>
          </w:p>
          <w:p w:rsidR="00615F5E" w:rsidRPr="00615F5E" w:rsidRDefault="00615F5E" w:rsidP="00615F5E">
            <w:pPr>
              <w:numPr>
                <w:ilvl w:val="0"/>
                <w:numId w:val="2"/>
              </w:numPr>
              <w:spacing w:after="51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 xml:space="preserve">GM Higher interactions relevant for year group/curriculum </w:t>
            </w:r>
          </w:p>
          <w:p w:rsidR="00C21DF6" w:rsidRDefault="00615F5E" w:rsidP="00615F5E">
            <w:pPr>
              <w:numPr>
                <w:ilvl w:val="0"/>
                <w:numId w:val="2"/>
              </w:numPr>
              <w:spacing w:after="51"/>
              <w:ind w:hanging="540"/>
            </w:pPr>
            <w:r w:rsidRPr="00615F5E">
              <w:rPr>
                <w:rFonts w:ascii="Century Gothic" w:eastAsia="Century Gothic" w:hAnsi="Century Gothic" w:cs="Century Gothic"/>
                <w:sz w:val="21"/>
              </w:rPr>
              <w:t>Raising Aspirations Day (September) – Future Yo</w:t>
            </w:r>
            <w:r>
              <w:rPr>
                <w:rFonts w:ascii="Century Gothic" w:eastAsia="Century Gothic" w:hAnsi="Century Gothic" w:cs="Century Gothic"/>
                <w:sz w:val="21"/>
              </w:rPr>
              <w:t>u</w:t>
            </w:r>
          </w:p>
        </w:tc>
      </w:tr>
    </w:tbl>
    <w:p w:rsidR="00000000" w:rsidRDefault="00615F5E"/>
    <w:sectPr w:rsidR="00000000">
      <w:pgSz w:w="19200" w:h="10800" w:orient="landscape"/>
      <w:pgMar w:top="62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4DD6"/>
    <w:multiLevelType w:val="hybridMultilevel"/>
    <w:tmpl w:val="8D1004A8"/>
    <w:lvl w:ilvl="0" w:tplc="04F0DCBE">
      <w:start w:val="1"/>
      <w:numFmt w:val="bullet"/>
      <w:lvlText w:val="o"/>
      <w:lvlJc w:val="left"/>
      <w:pPr>
        <w:ind w:left="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9020B0">
      <w:start w:val="1"/>
      <w:numFmt w:val="bullet"/>
      <w:lvlText w:val="o"/>
      <w:lvlJc w:val="left"/>
      <w:pPr>
        <w:ind w:left="1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5AADDA">
      <w:start w:val="1"/>
      <w:numFmt w:val="bullet"/>
      <w:lvlText w:val="▪"/>
      <w:lvlJc w:val="left"/>
      <w:pPr>
        <w:ind w:left="1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EC63C">
      <w:start w:val="1"/>
      <w:numFmt w:val="bullet"/>
      <w:lvlText w:val="•"/>
      <w:lvlJc w:val="left"/>
      <w:pPr>
        <w:ind w:left="2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342090">
      <w:start w:val="1"/>
      <w:numFmt w:val="bullet"/>
      <w:lvlText w:val="o"/>
      <w:lvlJc w:val="left"/>
      <w:pPr>
        <w:ind w:left="3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EA3194">
      <w:start w:val="1"/>
      <w:numFmt w:val="bullet"/>
      <w:lvlText w:val="▪"/>
      <w:lvlJc w:val="left"/>
      <w:pPr>
        <w:ind w:left="4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08C386">
      <w:start w:val="1"/>
      <w:numFmt w:val="bullet"/>
      <w:lvlText w:val="•"/>
      <w:lvlJc w:val="left"/>
      <w:pPr>
        <w:ind w:left="4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D020DA">
      <w:start w:val="1"/>
      <w:numFmt w:val="bullet"/>
      <w:lvlText w:val="o"/>
      <w:lvlJc w:val="left"/>
      <w:pPr>
        <w:ind w:left="5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BE2758">
      <w:start w:val="1"/>
      <w:numFmt w:val="bullet"/>
      <w:lvlText w:val="▪"/>
      <w:lvlJc w:val="left"/>
      <w:pPr>
        <w:ind w:left="6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631CD3"/>
    <w:multiLevelType w:val="hybridMultilevel"/>
    <w:tmpl w:val="F16680C0"/>
    <w:lvl w:ilvl="0" w:tplc="BD0AA334">
      <w:start w:val="1"/>
      <w:numFmt w:val="bullet"/>
      <w:lvlText w:val="•"/>
      <w:lvlJc w:val="left"/>
      <w:pPr>
        <w:ind w:left="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87AA4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8A67E0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04E95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141588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A66B58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6384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8EE10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D6F882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F6"/>
    <w:rsid w:val="00615F5E"/>
    <w:rsid w:val="00C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D7B5"/>
  <w15:docId w15:val="{D357B5D6-6EFF-4E61-B010-2B716D4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Longdendale High School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Nicola Moffat</dc:creator>
  <cp:keywords/>
  <cp:lastModifiedBy>Gemma Lowe</cp:lastModifiedBy>
  <cp:revision>2</cp:revision>
  <dcterms:created xsi:type="dcterms:W3CDTF">2024-02-03T14:07:00Z</dcterms:created>
  <dcterms:modified xsi:type="dcterms:W3CDTF">2024-02-03T14:07:00Z</dcterms:modified>
</cp:coreProperties>
</file>