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BD" w:rsidRDefault="000315BD">
      <w:pPr>
        <w:spacing w:after="0"/>
        <w:ind w:left="-1440" w:right="488"/>
      </w:pPr>
    </w:p>
    <w:tbl>
      <w:tblPr>
        <w:tblStyle w:val="TableGrid"/>
        <w:tblW w:w="16560" w:type="dxa"/>
        <w:tblInd w:w="-728" w:type="dxa"/>
        <w:tblCellMar>
          <w:top w:w="149" w:type="dxa"/>
          <w:left w:w="143" w:type="dxa"/>
          <w:bottom w:w="72" w:type="dxa"/>
          <w:right w:w="237" w:type="dxa"/>
        </w:tblCellMar>
        <w:tblLook w:val="04A0" w:firstRow="1" w:lastRow="0" w:firstColumn="1" w:lastColumn="0" w:noHBand="0" w:noVBand="1"/>
      </w:tblPr>
      <w:tblGrid>
        <w:gridCol w:w="6667"/>
        <w:gridCol w:w="9893"/>
      </w:tblGrid>
      <w:tr w:rsidR="000315BD">
        <w:trPr>
          <w:trHeight w:val="1332"/>
        </w:trPr>
        <w:tc>
          <w:tcPr>
            <w:tcW w:w="1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15BD" w:rsidRDefault="0098329F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Year 8 – Explore</w:t>
            </w:r>
          </w:p>
          <w:p w:rsidR="000315BD" w:rsidRDefault="0098329F">
            <w:pPr>
              <w:spacing w:after="105"/>
              <w:ind w:left="95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Students </w:t>
            </w:r>
            <w:r>
              <w:rPr>
                <w:rFonts w:ascii="Century Gothic" w:eastAsia="Century Gothic" w:hAnsi="Century Gothic" w:cs="Century Gothic"/>
                <w:b/>
                <w:color w:val="F26200"/>
              </w:rPr>
              <w:t xml:space="preserve">develop awareness of potential future journeys, </w:t>
            </w:r>
            <w:r>
              <w:rPr>
                <w:rFonts w:ascii="Century Gothic" w:eastAsia="Century Gothic" w:hAnsi="Century Gothic" w:cs="Century Gothic"/>
                <w:b/>
                <w:color w:val="7030A0"/>
              </w:rPr>
              <w:t xml:space="preserve">their involvement with the community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b/>
                <w:color w:val="0070C0"/>
              </w:rPr>
              <w:t xml:space="preserve">map out their path to further education or </w:t>
            </w:r>
          </w:p>
          <w:p w:rsidR="000315BD" w:rsidRDefault="0098329F">
            <w:pPr>
              <w:spacing w:after="0"/>
              <w:ind w:left="93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70C0"/>
              </w:rPr>
              <w:t xml:space="preserve">employment </w:t>
            </w:r>
            <w:r>
              <w:rPr>
                <w:rFonts w:ascii="Century Gothic" w:eastAsia="Century Gothic" w:hAnsi="Century Gothic" w:cs="Century Gothic"/>
                <w:b/>
              </w:rPr>
              <w:t>after school finishes.</w:t>
            </w:r>
          </w:p>
        </w:tc>
      </w:tr>
      <w:tr w:rsidR="000315BD">
        <w:trPr>
          <w:trHeight w:val="441"/>
        </w:trPr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5BD" w:rsidRDefault="0098329F">
            <w:pPr>
              <w:spacing w:after="0"/>
              <w:ind w:left="93"/>
              <w:jc w:val="center"/>
            </w:pPr>
            <w:r>
              <w:rPr>
                <w:rFonts w:ascii="Century Gothic" w:eastAsia="Century Gothic" w:hAnsi="Century Gothic" w:cs="Century Gothic"/>
              </w:rPr>
              <w:t>Measurable Outcomes</w:t>
            </w:r>
          </w:p>
        </w:tc>
        <w:tc>
          <w:tcPr>
            <w:tcW w:w="9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5BD" w:rsidRDefault="0098329F">
            <w:pPr>
              <w:spacing w:after="0"/>
              <w:ind w:left="93"/>
              <w:jc w:val="center"/>
            </w:pPr>
            <w:r>
              <w:rPr>
                <w:rFonts w:ascii="Century Gothic" w:eastAsia="Century Gothic" w:hAnsi="Century Gothic" w:cs="Century Gothic"/>
              </w:rPr>
              <w:t>Activities</w:t>
            </w:r>
          </w:p>
        </w:tc>
      </w:tr>
      <w:tr w:rsidR="000315BD">
        <w:trPr>
          <w:trHeight w:val="5601"/>
        </w:trPr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5BD" w:rsidRDefault="0098329F">
            <w:pPr>
              <w:spacing w:after="161"/>
              <w:ind w:left="1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Students can explain how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applications </w:t>
            </w:r>
            <w:r>
              <w:rPr>
                <w:rFonts w:ascii="Century Gothic" w:eastAsia="Century Gothic" w:hAnsi="Century Gothic" w:cs="Century Gothic"/>
                <w:sz w:val="21"/>
              </w:rPr>
              <w:t>work.</w:t>
            </w:r>
          </w:p>
          <w:p w:rsidR="000315BD" w:rsidRDefault="0098329F">
            <w:pPr>
              <w:spacing w:after="30" w:line="376" w:lineRule="auto"/>
              <w:ind w:left="1" w:right="941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Students can articulate what a university is and what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apprenticeships 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are, and why they are important. Students understand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employment opportunities </w:t>
            </w:r>
            <w:r>
              <w:rPr>
                <w:rFonts w:ascii="Century Gothic" w:eastAsia="Century Gothic" w:hAnsi="Century Gothic" w:cs="Century Gothic"/>
                <w:sz w:val="21"/>
              </w:rPr>
              <w:t>in a wide range of sectors.</w:t>
            </w:r>
          </w:p>
          <w:p w:rsidR="000315BD" w:rsidRDefault="0098329F">
            <w:pPr>
              <w:spacing w:after="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Students understand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the range of opportunities </w:t>
            </w:r>
            <w:r>
              <w:rPr>
                <w:rFonts w:ascii="Century Gothic" w:eastAsia="Century Gothic" w:hAnsi="Century Gothic" w:cs="Century Gothic"/>
                <w:sz w:val="21"/>
              </w:rPr>
              <w:t>that their edu</w:t>
            </w:r>
            <w:r>
              <w:rPr>
                <w:rFonts w:ascii="Century Gothic" w:eastAsia="Century Gothic" w:hAnsi="Century Gothic" w:cs="Century Gothic"/>
                <w:sz w:val="21"/>
              </w:rPr>
              <w:t>cation opens up.</w:t>
            </w:r>
          </w:p>
        </w:tc>
        <w:tc>
          <w:tcPr>
            <w:tcW w:w="9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5BD" w:rsidRDefault="0098329F" w:rsidP="00D77588">
            <w:pPr>
              <w:spacing w:after="0" w:line="296" w:lineRule="auto"/>
              <w:ind w:right="58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Trip to FE provider for full cohort - Discovering learning pathways - what and how students learn as they move towards their learning and career goals. Creating opportunities for students to </w:t>
            </w:r>
            <w:r>
              <w:rPr>
                <w:rFonts w:ascii="Century Gothic" w:eastAsia="Century Gothic" w:hAnsi="Century Gothic" w:cs="Century Gothic"/>
                <w:sz w:val="21"/>
              </w:rPr>
              <w:t>find out about the full range of educational and training pathways. Meeting student leaders and looking at enrichment at – what can they do to develop themselves beyond the academic? Assembly focussed on LMI</w:t>
            </w:r>
          </w:p>
          <w:p w:rsidR="000315BD" w:rsidRDefault="0098329F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21"/>
              </w:rPr>
              <w:t>PSHE Programme SP2 / SU1</w:t>
            </w:r>
          </w:p>
          <w:p w:rsidR="000315BD" w:rsidRDefault="0098329F">
            <w:pPr>
              <w:spacing w:after="0" w:line="279" w:lineRule="auto"/>
              <w:ind w:right="5789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CEIAG: Exploring careers of interest </w:t>
            </w:r>
            <w:r>
              <w:rPr>
                <w:rFonts w:ascii="Arial" w:eastAsia="Arial" w:hAnsi="Arial" w:cs="Arial"/>
                <w:sz w:val="21"/>
              </w:rPr>
              <w:t xml:space="preserve">• </w:t>
            </w:r>
            <w:r>
              <w:rPr>
                <w:rFonts w:ascii="Century Gothic" w:eastAsia="Century Gothic" w:hAnsi="Century Gothic" w:cs="Century Gothic"/>
                <w:sz w:val="21"/>
              </w:rPr>
              <w:t>Discovering learning pathways.</w:t>
            </w:r>
          </w:p>
          <w:p w:rsidR="0098329F" w:rsidRPr="0098329F" w:rsidRDefault="0098329F" w:rsidP="0098329F">
            <w:pPr>
              <w:numPr>
                <w:ilvl w:val="0"/>
                <w:numId w:val="1"/>
              </w:numPr>
              <w:spacing w:after="7"/>
            </w:pPr>
            <w:r>
              <w:rPr>
                <w:rFonts w:ascii="Century Gothic" w:eastAsia="Century Gothic" w:hAnsi="Century Gothic" w:cs="Century Gothic"/>
                <w:sz w:val="21"/>
              </w:rPr>
              <w:t>Biases and career choices</w:t>
            </w:r>
          </w:p>
          <w:p w:rsidR="0098329F" w:rsidRPr="0098329F" w:rsidRDefault="0098329F" w:rsidP="0098329F">
            <w:pPr>
              <w:numPr>
                <w:ilvl w:val="0"/>
                <w:numId w:val="1"/>
              </w:numPr>
              <w:spacing w:after="7"/>
              <w:rPr>
                <w:rFonts w:ascii="Century Gothic" w:hAnsi="Century Gothic"/>
              </w:rPr>
            </w:pPr>
            <w:bookmarkStart w:id="0" w:name="_GoBack"/>
            <w:r w:rsidRPr="0098329F">
              <w:rPr>
                <w:rFonts w:ascii="Century Gothic" w:hAnsi="Century Gothic"/>
              </w:rPr>
              <w:t>Webinar on Apprenticeships GMCA</w:t>
            </w:r>
          </w:p>
          <w:bookmarkEnd w:id="0"/>
          <w:p w:rsidR="000315BD" w:rsidRDefault="0098329F">
            <w:pPr>
              <w:numPr>
                <w:ilvl w:val="0"/>
                <w:numId w:val="1"/>
              </w:numPr>
              <w:spacing w:after="10"/>
            </w:pPr>
            <w:r>
              <w:rPr>
                <w:rFonts w:ascii="Century Gothic" w:eastAsia="Century Gothic" w:hAnsi="Century Gothic" w:cs="Century Gothic"/>
                <w:sz w:val="21"/>
              </w:rPr>
              <w:t>Developing links from classes to careers.</w:t>
            </w:r>
          </w:p>
          <w:p w:rsidR="00D77588" w:rsidRPr="00D77588" w:rsidRDefault="0098329F">
            <w:pPr>
              <w:numPr>
                <w:ilvl w:val="0"/>
                <w:numId w:val="1"/>
              </w:numPr>
              <w:spacing w:after="24" w:line="297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Increasing awareness of which career opportunities are open to me </w:t>
            </w:r>
          </w:p>
          <w:p w:rsidR="000315BD" w:rsidRDefault="0098329F">
            <w:pPr>
              <w:numPr>
                <w:ilvl w:val="0"/>
                <w:numId w:val="1"/>
              </w:numPr>
              <w:spacing w:after="24" w:line="297" w:lineRule="auto"/>
            </w:pP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Xello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for students to engage with CEAIG and build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electronic careers profile.</w:t>
            </w:r>
          </w:p>
          <w:p w:rsidR="000315BD" w:rsidRDefault="0098329F">
            <w:pPr>
              <w:tabs>
                <w:tab w:val="center" w:pos="64"/>
                <w:tab w:val="center" w:pos="4940"/>
              </w:tabs>
              <w:spacing w:after="67"/>
            </w:pPr>
            <w:r>
              <w:tab/>
            </w: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>Enrichment, leadership and social action opportunities on Careers Journey (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inc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Tenner </w:t>
            </w:r>
          </w:p>
          <w:p w:rsidR="00D77588" w:rsidRDefault="0098329F">
            <w:pPr>
              <w:spacing w:after="0"/>
              <w:ind w:right="3157" w:firstLine="540"/>
              <w:jc w:val="both"/>
              <w:rPr>
                <w:rFonts w:ascii="Century Gothic" w:eastAsia="Century Gothic" w:hAnsi="Century Gothic" w:cs="Century Gothic"/>
                <w:sz w:val="21"/>
              </w:rPr>
            </w:pPr>
            <w:r>
              <w:rPr>
                <w:rFonts w:ascii="Century Gothic" w:eastAsia="Century Gothic" w:hAnsi="Century Gothic" w:cs="Century Gothic"/>
                <w:sz w:val="21"/>
              </w:rPr>
              <w:t>Challenge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) - Social Action focus </w:t>
            </w:r>
          </w:p>
          <w:p w:rsidR="00D77588" w:rsidRDefault="0098329F" w:rsidP="00D77588">
            <w:pPr>
              <w:spacing w:after="0"/>
              <w:ind w:right="3157"/>
              <w:jc w:val="both"/>
              <w:rPr>
                <w:rFonts w:ascii="Century Gothic" w:eastAsia="Century Gothic" w:hAnsi="Century Gothic" w:cs="Century Gothic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Raising Aspirations Day (September) – </w:t>
            </w:r>
            <w:r w:rsidR="00D77588">
              <w:rPr>
                <w:rFonts w:ascii="Century Gothic" w:eastAsia="Century Gothic" w:hAnsi="Century Gothic" w:cs="Century Gothic"/>
                <w:sz w:val="21"/>
              </w:rPr>
              <w:t>Enterprise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  <w:r w:rsidR="00D77588">
              <w:rPr>
                <w:rFonts w:ascii="Century Gothic" w:eastAsia="Century Gothic" w:hAnsi="Century Gothic" w:cs="Century Gothic"/>
                <w:sz w:val="21"/>
              </w:rPr>
              <w:t>C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areers focus </w:t>
            </w:r>
          </w:p>
          <w:p w:rsidR="000315BD" w:rsidRDefault="0098329F" w:rsidP="00D77588">
            <w:pPr>
              <w:spacing w:after="0"/>
              <w:ind w:right="3157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z w:val="21"/>
              </w:rPr>
              <w:t>Raising Aspirations Day (</w:t>
            </w:r>
            <w:r w:rsidR="00D77588">
              <w:rPr>
                <w:rFonts w:ascii="Century Gothic" w:eastAsia="Century Gothic" w:hAnsi="Century Gothic" w:cs="Century Gothic"/>
                <w:sz w:val="21"/>
              </w:rPr>
              <w:t>spring</w:t>
            </w:r>
            <w:r>
              <w:rPr>
                <w:rFonts w:ascii="Century Gothic" w:eastAsia="Century Gothic" w:hAnsi="Century Gothic" w:cs="Century Gothic"/>
                <w:sz w:val="21"/>
              </w:rPr>
              <w:t>) -</w:t>
            </w:r>
            <w:r w:rsidR="00D77588">
              <w:rPr>
                <w:rFonts w:ascii="Century Gothic" w:eastAsia="Century Gothic" w:hAnsi="Century Gothic" w:cs="Century Gothic"/>
                <w:sz w:val="21"/>
              </w:rPr>
              <w:t xml:space="preserve"> Science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Careers</w:t>
            </w:r>
          </w:p>
        </w:tc>
      </w:tr>
    </w:tbl>
    <w:p w:rsidR="00000000" w:rsidRDefault="0098329F"/>
    <w:sectPr w:rsidR="00000000">
      <w:pgSz w:w="19200" w:h="10800" w:orient="landscape"/>
      <w:pgMar w:top="81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853"/>
    <w:multiLevelType w:val="hybridMultilevel"/>
    <w:tmpl w:val="648243B2"/>
    <w:lvl w:ilvl="0" w:tplc="7EA8849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68443E">
      <w:start w:val="1"/>
      <w:numFmt w:val="bullet"/>
      <w:lvlText w:val="o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9490A6">
      <w:start w:val="1"/>
      <w:numFmt w:val="bullet"/>
      <w:lvlText w:val="▪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288D5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26B1DA">
      <w:start w:val="1"/>
      <w:numFmt w:val="bullet"/>
      <w:lvlText w:val="o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9CFAA0">
      <w:start w:val="1"/>
      <w:numFmt w:val="bullet"/>
      <w:lvlText w:val="▪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124584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34BEF6">
      <w:start w:val="1"/>
      <w:numFmt w:val="bullet"/>
      <w:lvlText w:val="o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F0935E">
      <w:start w:val="1"/>
      <w:numFmt w:val="bullet"/>
      <w:lvlText w:val="▪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BD"/>
    <w:rsid w:val="000315BD"/>
    <w:rsid w:val="006E5BA6"/>
    <w:rsid w:val="0098329F"/>
    <w:rsid w:val="00D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A9AD"/>
  <w15:docId w15:val="{D357B5D6-6EFF-4E61-B010-2B716D4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Longdendale High School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Nicola Moffat</dc:creator>
  <cp:keywords/>
  <cp:lastModifiedBy>Gemma Lowe</cp:lastModifiedBy>
  <cp:revision>4</cp:revision>
  <dcterms:created xsi:type="dcterms:W3CDTF">2024-02-03T13:52:00Z</dcterms:created>
  <dcterms:modified xsi:type="dcterms:W3CDTF">2024-02-03T14:00:00Z</dcterms:modified>
</cp:coreProperties>
</file>