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31"/>
        <w:tblW w:w="17099" w:type="dxa"/>
        <w:tblInd w:w="0" w:type="dxa"/>
        <w:tblCellMar>
          <w:top w:w="141" w:type="dxa"/>
          <w:left w:w="129" w:type="dxa"/>
          <w:bottom w:w="64" w:type="dxa"/>
          <w:right w:w="104" w:type="dxa"/>
        </w:tblCellMar>
        <w:tblLook w:val="04A0" w:firstRow="1" w:lastRow="0" w:firstColumn="1" w:lastColumn="0" w:noHBand="0" w:noVBand="1"/>
      </w:tblPr>
      <w:tblGrid>
        <w:gridCol w:w="6080"/>
        <w:gridCol w:w="11019"/>
      </w:tblGrid>
      <w:tr w:rsidR="00715BA8" w:rsidTr="00715BA8">
        <w:trPr>
          <w:trHeight w:val="1264"/>
        </w:trPr>
        <w:tc>
          <w:tcPr>
            <w:tcW w:w="1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15BA8" w:rsidRDefault="00715BA8" w:rsidP="00715BA8">
            <w:pPr>
              <w:spacing w:after="0"/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Year 9 – Pathways</w:t>
            </w:r>
          </w:p>
          <w:p w:rsidR="00715BA8" w:rsidRDefault="00715BA8" w:rsidP="00715BA8">
            <w:pPr>
              <w:spacing w:after="60"/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Students </w:t>
            </w:r>
            <w:r>
              <w:rPr>
                <w:rFonts w:ascii="Century Gothic" w:eastAsia="Century Gothic" w:hAnsi="Century Gothic" w:cs="Century Gothic"/>
                <w:b/>
                <w:color w:val="0070C0"/>
              </w:rPr>
              <w:t xml:space="preserve">make informed choices for their GCSE options based on an understanding of Further Education and Industry requirements </w:t>
            </w:r>
            <w:r>
              <w:rPr>
                <w:rFonts w:ascii="Century Gothic" w:eastAsia="Century Gothic" w:hAnsi="Century Gothic" w:cs="Century Gothic"/>
                <w:b/>
                <w:color w:val="339933"/>
              </w:rPr>
              <w:t xml:space="preserve">as well as their own </w:t>
            </w:r>
          </w:p>
          <w:p w:rsidR="00715BA8" w:rsidRDefault="00715BA8" w:rsidP="00715BA8">
            <w:pPr>
              <w:spacing w:after="0"/>
              <w:ind w:right="25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339933"/>
              </w:rPr>
              <w:t>strengths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</w:tc>
      </w:tr>
      <w:tr w:rsidR="00715BA8" w:rsidTr="00715BA8">
        <w:trPr>
          <w:trHeight w:val="427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BA8" w:rsidRDefault="00715BA8" w:rsidP="00715BA8">
            <w:pPr>
              <w:spacing w:after="0"/>
              <w:ind w:right="26"/>
              <w:jc w:val="center"/>
            </w:pPr>
            <w:r>
              <w:rPr>
                <w:rFonts w:ascii="Century Gothic" w:eastAsia="Century Gothic" w:hAnsi="Century Gothic" w:cs="Century Gothic"/>
              </w:rPr>
              <w:t>Measurable Outcomes</w:t>
            </w:r>
          </w:p>
        </w:tc>
        <w:tc>
          <w:tcPr>
            <w:tcW w:w="1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BA8" w:rsidRDefault="00715BA8" w:rsidP="00715BA8">
            <w:pPr>
              <w:spacing w:after="0"/>
              <w:ind w:right="28"/>
              <w:jc w:val="center"/>
            </w:pPr>
            <w:r>
              <w:rPr>
                <w:rFonts w:ascii="Century Gothic" w:eastAsia="Century Gothic" w:hAnsi="Century Gothic" w:cs="Century Gothic"/>
              </w:rPr>
              <w:t>Activities</w:t>
            </w:r>
          </w:p>
        </w:tc>
      </w:tr>
      <w:tr w:rsidR="00715BA8" w:rsidTr="00715BA8">
        <w:trPr>
          <w:trHeight w:val="6486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BA8" w:rsidRDefault="00715BA8" w:rsidP="00715BA8">
            <w:pPr>
              <w:spacing w:after="118" w:line="293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can identify the difference between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>college, sixth form and apprenticeships</w:t>
            </w:r>
            <w:r>
              <w:rPr>
                <w:rFonts w:ascii="Century Gothic" w:eastAsia="Century Gothic" w:hAnsi="Century Gothic" w:cs="Century Gothic"/>
                <w:sz w:val="21"/>
              </w:rPr>
              <w:t>.</w:t>
            </w:r>
          </w:p>
          <w:p w:rsidR="00715BA8" w:rsidRDefault="00715BA8" w:rsidP="00715BA8">
            <w:pPr>
              <w:spacing w:after="111" w:line="304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are informed about the impact their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GCSE choices </w:t>
            </w:r>
            <w:r>
              <w:rPr>
                <w:rFonts w:ascii="Century Gothic" w:eastAsia="Century Gothic" w:hAnsi="Century Gothic" w:cs="Century Gothic"/>
                <w:sz w:val="21"/>
              </w:rPr>
              <w:t>have on future opportunities.</w:t>
            </w:r>
          </w:p>
          <w:p w:rsidR="00715BA8" w:rsidRDefault="00715BA8" w:rsidP="00715BA8">
            <w:pPr>
              <w:spacing w:after="119" w:line="292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evaluate and reflect on their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professionalism </w:t>
            </w:r>
            <w:r>
              <w:rPr>
                <w:rFonts w:ascii="Century Gothic" w:eastAsia="Century Gothic" w:hAnsi="Century Gothic" w:cs="Century Gothic"/>
                <w:sz w:val="21"/>
              </w:rPr>
              <w:t>in lessons and around school and link to career expectations.</w:t>
            </w:r>
          </w:p>
          <w:p w:rsidR="00715BA8" w:rsidRDefault="00715BA8" w:rsidP="00715BA8">
            <w:pPr>
              <w:spacing w:after="122" w:line="291" w:lineRule="auto"/>
              <w:jc w:val="both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can independently and confidently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>research course and job requirements</w:t>
            </w:r>
            <w:r>
              <w:rPr>
                <w:rFonts w:ascii="Century Gothic" w:eastAsia="Century Gothic" w:hAnsi="Century Gothic" w:cs="Century Gothic"/>
                <w:sz w:val="21"/>
              </w:rPr>
              <w:t>.</w:t>
            </w:r>
          </w:p>
          <w:p w:rsidR="00715BA8" w:rsidRDefault="00715BA8" w:rsidP="00715BA8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have had a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meaningful interaction with professionals </w:t>
            </w:r>
            <w:r>
              <w:rPr>
                <w:rFonts w:ascii="Century Gothic" w:eastAsia="Century Gothic" w:hAnsi="Century Gothic" w:cs="Century Gothic"/>
                <w:sz w:val="21"/>
              </w:rPr>
              <w:t>from across various industries.</w:t>
            </w:r>
          </w:p>
        </w:tc>
        <w:tc>
          <w:tcPr>
            <w:tcW w:w="1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BA8" w:rsidRDefault="00715BA8" w:rsidP="00715BA8">
            <w:pPr>
              <w:spacing w:after="50"/>
            </w:pPr>
            <w:r>
              <w:rPr>
                <w:rFonts w:ascii="Century Gothic" w:eastAsia="Century Gothic" w:hAnsi="Century Gothic" w:cs="Century Gothic"/>
                <w:sz w:val="21"/>
              </w:rPr>
              <w:t>PSHE Programme SP1</w:t>
            </w:r>
          </w:p>
          <w:p w:rsidR="00715BA8" w:rsidRDefault="00715BA8" w:rsidP="00715BA8">
            <w:pPr>
              <w:spacing w:after="19"/>
            </w:pPr>
            <w:r>
              <w:rPr>
                <w:rFonts w:ascii="Century Gothic" w:eastAsia="Century Gothic" w:hAnsi="Century Gothic" w:cs="Century Gothic"/>
                <w:b/>
                <w:sz w:val="21"/>
              </w:rPr>
              <w:t>CEIAG: Investigating pathways and options</w:t>
            </w:r>
          </w:p>
          <w:p w:rsidR="00715BA8" w:rsidRDefault="00715BA8" w:rsidP="00715BA8">
            <w:pPr>
              <w:numPr>
                <w:ilvl w:val="0"/>
                <w:numId w:val="1"/>
              </w:numPr>
              <w:spacing w:after="7"/>
            </w:pPr>
            <w:r>
              <w:rPr>
                <w:rFonts w:ascii="Century Gothic" w:eastAsia="Century Gothic" w:hAnsi="Century Gothic" w:cs="Century Gothic"/>
                <w:sz w:val="21"/>
              </w:rPr>
              <w:t>Key employability skills.</w:t>
            </w:r>
          </w:p>
          <w:p w:rsidR="00715BA8" w:rsidRDefault="00715BA8" w:rsidP="00715BA8">
            <w:pPr>
              <w:numPr>
                <w:ilvl w:val="0"/>
                <w:numId w:val="1"/>
              </w:numPr>
              <w:spacing w:after="8"/>
            </w:pPr>
            <w:r>
              <w:rPr>
                <w:rFonts w:ascii="Century Gothic" w:eastAsia="Century Gothic" w:hAnsi="Century Gothic" w:cs="Century Gothic"/>
                <w:sz w:val="21"/>
              </w:rPr>
              <w:t>Employer career matches.</w:t>
            </w:r>
          </w:p>
          <w:p w:rsidR="00715BA8" w:rsidRDefault="00715BA8" w:rsidP="00715BA8">
            <w:pPr>
              <w:numPr>
                <w:ilvl w:val="0"/>
                <w:numId w:val="1"/>
              </w:numPr>
              <w:spacing w:after="10"/>
            </w:pPr>
            <w:r>
              <w:rPr>
                <w:rFonts w:ascii="Century Gothic" w:eastAsia="Century Gothic" w:hAnsi="Century Gothic" w:cs="Century Gothic"/>
                <w:sz w:val="21"/>
              </w:rPr>
              <w:t>Self-advocacy.</w:t>
            </w:r>
          </w:p>
          <w:p w:rsidR="00715BA8" w:rsidRDefault="00715BA8" w:rsidP="00715BA8">
            <w:pPr>
              <w:numPr>
                <w:ilvl w:val="0"/>
                <w:numId w:val="1"/>
              </w:numPr>
              <w:spacing w:after="7"/>
            </w:pPr>
            <w:r>
              <w:rPr>
                <w:rFonts w:ascii="Century Gothic" w:eastAsia="Century Gothic" w:hAnsi="Century Gothic" w:cs="Century Gothic"/>
                <w:sz w:val="21"/>
              </w:rPr>
              <w:t>Employer drop-in sessions.</w:t>
            </w:r>
          </w:p>
          <w:p w:rsidR="00715BA8" w:rsidRPr="00715BA8" w:rsidRDefault="00715BA8" w:rsidP="00715BA8">
            <w:pPr>
              <w:numPr>
                <w:ilvl w:val="0"/>
                <w:numId w:val="1"/>
              </w:numPr>
              <w:spacing w:after="22" w:line="299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Making important decisions (leading up to the selection of options) </w:t>
            </w:r>
          </w:p>
          <w:p w:rsidR="00715BA8" w:rsidRDefault="00715BA8" w:rsidP="00715BA8">
            <w:pPr>
              <w:numPr>
                <w:ilvl w:val="0"/>
                <w:numId w:val="1"/>
              </w:numPr>
              <w:spacing w:after="22" w:line="299" w:lineRule="auto"/>
            </w:pPr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r>
              <w:rPr>
                <w:rFonts w:ascii="Century Gothic" w:eastAsia="Century Gothic" w:hAnsi="Century Gothic" w:cs="Century Gothic"/>
                <w:sz w:val="21"/>
              </w:rPr>
              <w:t>Evaluation of ATL each reporting round. How does Excellent/Good map out against workplace skills.</w:t>
            </w:r>
          </w:p>
          <w:p w:rsidR="00715BA8" w:rsidRDefault="00715BA8" w:rsidP="00715BA8">
            <w:pPr>
              <w:numPr>
                <w:ilvl w:val="0"/>
                <w:numId w:val="2"/>
              </w:numPr>
              <w:spacing w:after="8" w:line="299" w:lineRule="auto"/>
              <w:ind w:right="1774"/>
            </w:pPr>
            <w:r>
              <w:rPr>
                <w:rFonts w:ascii="Century Gothic" w:eastAsia="Century Gothic" w:hAnsi="Century Gothic" w:cs="Century Gothic"/>
                <w:sz w:val="21"/>
              </w:rPr>
              <w:t>Trip to FE provider: How GCSE choices fit in with A levels, T levels and apprenticeships. Biases and career choices (meeting a diverse range of students on courses). Students considering the relationship between learning, work, and career.</w:t>
            </w:r>
          </w:p>
          <w:p w:rsidR="00715BA8" w:rsidRPr="00715BA8" w:rsidRDefault="00715BA8" w:rsidP="00715BA8">
            <w:pPr>
              <w:numPr>
                <w:ilvl w:val="0"/>
                <w:numId w:val="2"/>
              </w:numPr>
              <w:spacing w:after="0" w:line="320" w:lineRule="auto"/>
              <w:ind w:right="1774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Guest Speaker assembly: how they have managed their careers (Findel) </w:t>
            </w:r>
          </w:p>
          <w:p w:rsidR="00715BA8" w:rsidRDefault="00715BA8" w:rsidP="00715BA8">
            <w:pPr>
              <w:numPr>
                <w:ilvl w:val="0"/>
                <w:numId w:val="2"/>
              </w:numPr>
              <w:spacing w:after="0" w:line="320" w:lineRule="auto"/>
              <w:ind w:right="1774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Use of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Xello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as routine.</w:t>
            </w:r>
          </w:p>
          <w:p w:rsidR="00715BA8" w:rsidRPr="00715BA8" w:rsidRDefault="00715BA8" w:rsidP="00715BA8">
            <w:pPr>
              <w:numPr>
                <w:ilvl w:val="0"/>
                <w:numId w:val="2"/>
              </w:numPr>
              <w:spacing w:after="0" w:line="321" w:lineRule="auto"/>
              <w:ind w:right="1774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Work Safari Programme (Findel Education) </w:t>
            </w:r>
          </w:p>
          <w:p w:rsidR="00715BA8" w:rsidRPr="005A114E" w:rsidRDefault="00715BA8" w:rsidP="00715BA8">
            <w:pPr>
              <w:numPr>
                <w:ilvl w:val="0"/>
                <w:numId w:val="2"/>
              </w:numPr>
              <w:spacing w:after="0" w:line="321" w:lineRule="auto"/>
              <w:ind w:right="1774"/>
              <w:rPr>
                <w:rFonts w:ascii="Century Gothic" w:hAnsi="Century Gothic"/>
              </w:rPr>
            </w:pPr>
            <w:bookmarkStart w:id="0" w:name="_GoBack"/>
            <w:r w:rsidRPr="005A114E">
              <w:rPr>
                <w:rFonts w:ascii="Century Gothic" w:hAnsi="Century Gothic"/>
              </w:rPr>
              <w:t>Webinar on Apprenticeships GMCA</w:t>
            </w:r>
          </w:p>
          <w:bookmarkEnd w:id="0"/>
          <w:p w:rsidR="00715BA8" w:rsidRDefault="00715BA8" w:rsidP="00715BA8">
            <w:pPr>
              <w:spacing w:after="0" w:line="321" w:lineRule="auto"/>
              <w:ind w:right="1774"/>
            </w:pPr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r>
              <w:rPr>
                <w:rFonts w:ascii="Century Gothic" w:eastAsia="Century Gothic" w:hAnsi="Century Gothic" w:cs="Century Gothic"/>
                <w:sz w:val="21"/>
              </w:rPr>
              <w:t>Speed Dating event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TBC</w:t>
            </w:r>
          </w:p>
          <w:p w:rsidR="00715BA8" w:rsidRPr="00715BA8" w:rsidRDefault="00715BA8" w:rsidP="00715BA8">
            <w:pPr>
              <w:numPr>
                <w:ilvl w:val="0"/>
                <w:numId w:val="2"/>
              </w:numPr>
              <w:spacing w:after="0"/>
              <w:ind w:right="1774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GM Higher interactions relevant for year group/curriculum </w:t>
            </w:r>
          </w:p>
          <w:p w:rsidR="00715BA8" w:rsidRPr="00715BA8" w:rsidRDefault="00715BA8" w:rsidP="00715BA8">
            <w:pPr>
              <w:numPr>
                <w:ilvl w:val="0"/>
                <w:numId w:val="2"/>
              </w:numPr>
              <w:spacing w:after="0"/>
              <w:ind w:right="1774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National Apprenticeship Week (Feb) / Careers Week (March) events. </w:t>
            </w:r>
          </w:p>
          <w:p w:rsidR="00715BA8" w:rsidRDefault="00715BA8" w:rsidP="00715BA8">
            <w:pPr>
              <w:numPr>
                <w:ilvl w:val="0"/>
                <w:numId w:val="2"/>
              </w:numPr>
              <w:spacing w:after="0"/>
              <w:ind w:right="1774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Raising Aspirations Day (March) Tied to IAG information around options </w:t>
            </w:r>
          </w:p>
        </w:tc>
      </w:tr>
    </w:tbl>
    <w:p w:rsidR="000F3B4D" w:rsidRDefault="000F3B4D">
      <w:pPr>
        <w:spacing w:after="0"/>
        <w:ind w:left="-1440" w:right="17760"/>
      </w:pPr>
    </w:p>
    <w:p w:rsidR="00000000" w:rsidRDefault="00232D6A"/>
    <w:sectPr w:rsidR="00000000">
      <w:pgSz w:w="19200" w:h="10800" w:orient="landscape"/>
      <w:pgMar w:top="47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B544D"/>
    <w:multiLevelType w:val="hybridMultilevel"/>
    <w:tmpl w:val="C0A8723E"/>
    <w:lvl w:ilvl="0" w:tplc="1FAC95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28F5AE">
      <w:start w:val="1"/>
      <w:numFmt w:val="bullet"/>
      <w:lvlText w:val="o"/>
      <w:lvlJc w:val="left"/>
      <w:pPr>
        <w:ind w:left="1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78B836">
      <w:start w:val="1"/>
      <w:numFmt w:val="bullet"/>
      <w:lvlText w:val="▪"/>
      <w:lvlJc w:val="left"/>
      <w:pPr>
        <w:ind w:left="1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1CBF22">
      <w:start w:val="1"/>
      <w:numFmt w:val="bullet"/>
      <w:lvlText w:val="•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CC7A4C">
      <w:start w:val="1"/>
      <w:numFmt w:val="bullet"/>
      <w:lvlText w:val="o"/>
      <w:lvlJc w:val="left"/>
      <w:pPr>
        <w:ind w:left="3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C677DC">
      <w:start w:val="1"/>
      <w:numFmt w:val="bullet"/>
      <w:lvlText w:val="▪"/>
      <w:lvlJc w:val="left"/>
      <w:pPr>
        <w:ind w:left="4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F4E0EA">
      <w:start w:val="1"/>
      <w:numFmt w:val="bullet"/>
      <w:lvlText w:val="•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8CD924">
      <w:start w:val="1"/>
      <w:numFmt w:val="bullet"/>
      <w:lvlText w:val="o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FE9820">
      <w:start w:val="1"/>
      <w:numFmt w:val="bullet"/>
      <w:lvlText w:val="▪"/>
      <w:lvlJc w:val="left"/>
      <w:pPr>
        <w:ind w:left="6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C4555B"/>
    <w:multiLevelType w:val="hybridMultilevel"/>
    <w:tmpl w:val="7F9AD07C"/>
    <w:lvl w:ilvl="0" w:tplc="BCA814DA">
      <w:start w:val="1"/>
      <w:numFmt w:val="bullet"/>
      <w:lvlText w:val="o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3CDE14">
      <w:start w:val="1"/>
      <w:numFmt w:val="bullet"/>
      <w:lvlText w:val="o"/>
      <w:lvlJc w:val="left"/>
      <w:pPr>
        <w:ind w:left="12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BA3E48">
      <w:start w:val="1"/>
      <w:numFmt w:val="bullet"/>
      <w:lvlText w:val="▪"/>
      <w:lvlJc w:val="left"/>
      <w:pPr>
        <w:ind w:left="19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1496B0">
      <w:start w:val="1"/>
      <w:numFmt w:val="bullet"/>
      <w:lvlText w:val="•"/>
      <w:lvlJc w:val="left"/>
      <w:pPr>
        <w:ind w:left="26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84DDD4">
      <w:start w:val="1"/>
      <w:numFmt w:val="bullet"/>
      <w:lvlText w:val="o"/>
      <w:lvlJc w:val="left"/>
      <w:pPr>
        <w:ind w:left="3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EE4A3C">
      <w:start w:val="1"/>
      <w:numFmt w:val="bullet"/>
      <w:lvlText w:val="▪"/>
      <w:lvlJc w:val="left"/>
      <w:pPr>
        <w:ind w:left="40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2A0348">
      <w:start w:val="1"/>
      <w:numFmt w:val="bullet"/>
      <w:lvlText w:val="•"/>
      <w:lvlJc w:val="left"/>
      <w:pPr>
        <w:ind w:left="48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A86982">
      <w:start w:val="1"/>
      <w:numFmt w:val="bullet"/>
      <w:lvlText w:val="o"/>
      <w:lvlJc w:val="left"/>
      <w:pPr>
        <w:ind w:left="55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36CFCE">
      <w:start w:val="1"/>
      <w:numFmt w:val="bullet"/>
      <w:lvlText w:val="▪"/>
      <w:lvlJc w:val="left"/>
      <w:pPr>
        <w:ind w:left="6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4D"/>
    <w:rsid w:val="000F3B4D"/>
    <w:rsid w:val="00232D6A"/>
    <w:rsid w:val="005A114E"/>
    <w:rsid w:val="007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2B8A"/>
  <w15:docId w15:val="{D357B5D6-6EFF-4E61-B010-2B716D4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Longdendale High School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Nicola Moffat</dc:creator>
  <cp:keywords/>
  <cp:lastModifiedBy>Gemma Lowe</cp:lastModifiedBy>
  <cp:revision>2</cp:revision>
  <dcterms:created xsi:type="dcterms:W3CDTF">2024-02-03T14:08:00Z</dcterms:created>
  <dcterms:modified xsi:type="dcterms:W3CDTF">2024-02-03T14:08:00Z</dcterms:modified>
</cp:coreProperties>
</file>